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F1F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0"/>
          <w:sz w:val="22"/>
          <w:szCs w:val="22"/>
        </w:rPr>
      </w:pPr>
    </w:p>
    <w:p w14:paraId="25029EE7" w14:textId="77777777" w:rsidR="00B53528" w:rsidRPr="00000576" w:rsidRDefault="00B53528" w:rsidP="00000576">
      <w:pPr>
        <w:spacing w:before="0" w:after="120" w:line="240" w:lineRule="auto"/>
        <w:jc w:val="both"/>
        <w:rPr>
          <w:rFonts w:eastAsia="Calibri" w:cstheme="minorHAnsi"/>
          <w:spacing w:val="20"/>
          <w:sz w:val="22"/>
          <w:szCs w:val="22"/>
          <w:lang w:eastAsia="hr-HR"/>
        </w:rPr>
      </w:pPr>
    </w:p>
    <w:p w14:paraId="7096DA28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spacing w:val="20"/>
          <w:sz w:val="22"/>
          <w:szCs w:val="22"/>
          <w:lang w:eastAsia="hr-HR"/>
        </w:rPr>
      </w:pPr>
      <w:r w:rsidRPr="00000576">
        <w:rPr>
          <w:rFonts w:eastAsia="Times New Roman" w:cstheme="minorHAnsi"/>
          <w:noProof/>
          <w:spacing w:val="20"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04C51603" wp14:editId="17EA35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C335B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26FBD666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5329CE80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color w:val="828282"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REPUBLIKA HRVATSKA</w:t>
      </w:r>
    </w:p>
    <w:p w14:paraId="05E3F785" w14:textId="07FA88C8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OSJEČKO – BARANJSKA ŽUPANIJA</w:t>
      </w:r>
    </w:p>
    <w:p w14:paraId="159B55D4" w14:textId="77777777" w:rsidR="00B53528" w:rsidRPr="00000576" w:rsidRDefault="00B53528" w:rsidP="00000576">
      <w:pPr>
        <w:keepNext/>
        <w:spacing w:before="0" w:after="120" w:line="240" w:lineRule="auto"/>
        <w:jc w:val="center"/>
        <w:outlineLvl w:val="1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bookmarkStart w:id="0" w:name="_Toc71103117"/>
      <w:bookmarkStart w:id="1" w:name="_Toc114225604"/>
      <w:bookmarkStart w:id="2" w:name="_Toc144891680"/>
      <w:r w:rsidRPr="00000576">
        <w:rPr>
          <w:rFonts w:eastAsia="Times New Roman" w:cstheme="minorHAnsi"/>
          <w:b/>
          <w:spacing w:val="20"/>
          <w:sz w:val="28"/>
          <w:szCs w:val="22"/>
          <w:lang w:eastAsia="hr-HR"/>
        </w:rPr>
        <w:t>OPĆINA LEVANJSKA VAROŠ</w:t>
      </w:r>
      <w:bookmarkEnd w:id="0"/>
      <w:bookmarkEnd w:id="1"/>
      <w:bookmarkEnd w:id="2"/>
    </w:p>
    <w:p w14:paraId="03385573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332CF6E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97B084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FF95D3D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1C7AD81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FC07F43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06DEFAD2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312CB07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OBRAZLOŽENJE </w:t>
      </w:r>
    </w:p>
    <w:p w14:paraId="786B902A" w14:textId="73517E42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UZ </w:t>
      </w:r>
      <w:r w:rsidR="009A702F">
        <w:rPr>
          <w:rFonts w:cstheme="minorHAnsi"/>
          <w:b/>
          <w:spacing w:val="24"/>
          <w:sz w:val="32"/>
          <w:szCs w:val="22"/>
        </w:rPr>
        <w:t>POLU</w:t>
      </w:r>
      <w:r w:rsidRPr="00000576">
        <w:rPr>
          <w:rFonts w:cstheme="minorHAnsi"/>
          <w:b/>
          <w:spacing w:val="24"/>
          <w:sz w:val="32"/>
          <w:szCs w:val="22"/>
        </w:rPr>
        <w:t xml:space="preserve">GODIŠNJI IZVJEŠTAJ O IZVRŠENJU PRORAČUNA </w:t>
      </w:r>
    </w:p>
    <w:p w14:paraId="5186886D" w14:textId="0ADA8AF4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>OPĆINE LEVANJSKA VAROŠ ZA 202</w:t>
      </w:r>
      <w:r w:rsidR="009A702F">
        <w:rPr>
          <w:rFonts w:cstheme="minorHAnsi"/>
          <w:b/>
          <w:spacing w:val="24"/>
          <w:sz w:val="32"/>
          <w:szCs w:val="22"/>
        </w:rPr>
        <w:t>3</w:t>
      </w:r>
      <w:r w:rsidRPr="00000576">
        <w:rPr>
          <w:rFonts w:cstheme="minorHAnsi"/>
          <w:b/>
          <w:spacing w:val="24"/>
          <w:sz w:val="32"/>
          <w:szCs w:val="22"/>
        </w:rPr>
        <w:t>. GODINU</w:t>
      </w:r>
    </w:p>
    <w:p w14:paraId="3348F6B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12DE60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8DE9E0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7F61DD5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30023103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F1F095E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4B74DB7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72D34E8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C537070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80D4F75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1ADFC04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AAA0E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08F577E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31C6716" w14:textId="14E0CFE9" w:rsidR="00DA6E26" w:rsidRPr="00000576" w:rsidRDefault="009A702F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  <w:r>
        <w:rPr>
          <w:rFonts w:cstheme="minorHAnsi"/>
          <w:b/>
          <w:spacing w:val="20"/>
          <w:sz w:val="22"/>
          <w:szCs w:val="22"/>
        </w:rPr>
        <w:t xml:space="preserve">Rujan </w:t>
      </w:r>
      <w:r w:rsidR="00DA6E26" w:rsidRPr="00000576">
        <w:rPr>
          <w:rFonts w:cstheme="minorHAnsi"/>
          <w:b/>
          <w:spacing w:val="20"/>
          <w:sz w:val="22"/>
          <w:szCs w:val="22"/>
        </w:rPr>
        <w:t>202</w:t>
      </w:r>
      <w:r w:rsidR="00286149">
        <w:rPr>
          <w:rFonts w:cstheme="minorHAnsi"/>
          <w:b/>
          <w:spacing w:val="20"/>
          <w:sz w:val="22"/>
          <w:szCs w:val="22"/>
        </w:rPr>
        <w:t>3</w:t>
      </w:r>
      <w:r w:rsidR="00DA6E26" w:rsidRPr="00000576">
        <w:rPr>
          <w:rFonts w:cstheme="minorHAnsi"/>
          <w:b/>
          <w:spacing w:val="20"/>
          <w:sz w:val="22"/>
          <w:szCs w:val="22"/>
        </w:rPr>
        <w:t>. godine</w:t>
      </w:r>
    </w:p>
    <w:p w14:paraId="339E9E11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722C08C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3B41BAEA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3AC66BE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-20879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4259A0" w14:textId="77777777" w:rsidR="00133D7D" w:rsidRDefault="00781E6C" w:rsidP="00D260F6">
          <w:pPr>
            <w:pStyle w:val="TOCHeading"/>
            <w:spacing w:before="0"/>
            <w:rPr>
              <w:noProof/>
            </w:rPr>
          </w:pPr>
          <w:r w:rsidRPr="00781E6C">
            <w:rPr>
              <w:b/>
              <w:sz w:val="28"/>
            </w:rPr>
            <w:t>SADRŽAJ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</w:p>
        <w:p w14:paraId="1D63CC5C" w14:textId="77777777" w:rsidR="00133D7D" w:rsidRPr="00133D7D" w:rsidRDefault="00133D7D" w:rsidP="00133D7D">
          <w:pPr>
            <w:pStyle w:val="TOC1"/>
            <w:rPr>
              <w:rFonts w:cstheme="minorBidi"/>
              <w:noProof/>
              <w:lang w:val="hr-HR" w:eastAsia="hr-HR"/>
            </w:rPr>
          </w:pPr>
          <w:hyperlink w:anchor="_Toc144891681" w:history="1">
            <w:r w:rsidRPr="00133D7D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1.</w:t>
            </w:r>
            <w:r w:rsidRPr="00133D7D">
              <w:rPr>
                <w:rFonts w:cstheme="minorBidi"/>
                <w:noProof/>
                <w:lang w:val="hr-HR" w:eastAsia="hr-HR"/>
              </w:rPr>
              <w:tab/>
            </w:r>
            <w:r w:rsidRPr="00133D7D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UVOD</w:t>
            </w:r>
            <w:r w:rsidRPr="00133D7D">
              <w:rPr>
                <w:noProof/>
                <w:webHidden/>
              </w:rPr>
              <w:tab/>
            </w:r>
            <w:r w:rsidRPr="00133D7D">
              <w:rPr>
                <w:noProof/>
                <w:webHidden/>
              </w:rPr>
              <w:fldChar w:fldCharType="begin"/>
            </w:r>
            <w:r w:rsidRPr="00133D7D">
              <w:rPr>
                <w:noProof/>
                <w:webHidden/>
              </w:rPr>
              <w:instrText xml:space="preserve"> PAGEREF _Toc144891681 \h </w:instrText>
            </w:r>
            <w:r w:rsidRPr="00133D7D">
              <w:rPr>
                <w:noProof/>
                <w:webHidden/>
              </w:rPr>
            </w:r>
            <w:r w:rsidRPr="00133D7D">
              <w:rPr>
                <w:noProof/>
                <w:webHidden/>
              </w:rPr>
              <w:fldChar w:fldCharType="separate"/>
            </w:r>
            <w:r w:rsidRPr="00133D7D">
              <w:rPr>
                <w:noProof/>
                <w:webHidden/>
              </w:rPr>
              <w:t>1</w:t>
            </w:r>
            <w:r w:rsidRPr="00133D7D">
              <w:rPr>
                <w:noProof/>
                <w:webHidden/>
              </w:rPr>
              <w:fldChar w:fldCharType="end"/>
            </w:r>
          </w:hyperlink>
        </w:p>
        <w:p w14:paraId="18A3B2FA" w14:textId="77777777" w:rsidR="00133D7D" w:rsidRPr="00133D7D" w:rsidRDefault="00133D7D" w:rsidP="00133D7D">
          <w:pPr>
            <w:pStyle w:val="TOC1"/>
            <w:rPr>
              <w:rFonts w:cstheme="minorBidi"/>
              <w:noProof/>
              <w:lang w:val="hr-HR" w:eastAsia="hr-HR"/>
            </w:rPr>
          </w:pPr>
          <w:hyperlink w:anchor="_Toc144891682" w:history="1">
            <w:r w:rsidRPr="00133D7D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2.</w:t>
            </w:r>
            <w:r w:rsidRPr="00133D7D">
              <w:rPr>
                <w:rFonts w:cstheme="minorBidi"/>
                <w:noProof/>
                <w:lang w:val="hr-HR" w:eastAsia="hr-HR"/>
              </w:rPr>
              <w:tab/>
            </w:r>
            <w:r w:rsidRPr="00133D7D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OBRAZLOŽENJE OSTVARENJA PRIHODA I PRIMITAKA, RASHODA I IZDATAKA PRORAČUNA</w:t>
            </w:r>
            <w:r w:rsidRPr="00133D7D">
              <w:rPr>
                <w:noProof/>
                <w:webHidden/>
              </w:rPr>
              <w:tab/>
            </w:r>
            <w:r w:rsidRPr="00133D7D">
              <w:rPr>
                <w:noProof/>
                <w:webHidden/>
              </w:rPr>
              <w:fldChar w:fldCharType="begin"/>
            </w:r>
            <w:r w:rsidRPr="00133D7D">
              <w:rPr>
                <w:noProof/>
                <w:webHidden/>
              </w:rPr>
              <w:instrText xml:space="preserve"> PAGEREF _Toc144891682 \h </w:instrText>
            </w:r>
            <w:r w:rsidRPr="00133D7D">
              <w:rPr>
                <w:noProof/>
                <w:webHidden/>
              </w:rPr>
            </w:r>
            <w:r w:rsidRPr="00133D7D">
              <w:rPr>
                <w:noProof/>
                <w:webHidden/>
              </w:rPr>
              <w:fldChar w:fldCharType="separate"/>
            </w:r>
            <w:r w:rsidRPr="00133D7D">
              <w:rPr>
                <w:noProof/>
                <w:webHidden/>
              </w:rPr>
              <w:t>1</w:t>
            </w:r>
            <w:r w:rsidRPr="00133D7D">
              <w:rPr>
                <w:noProof/>
                <w:webHidden/>
              </w:rPr>
              <w:fldChar w:fldCharType="end"/>
            </w:r>
          </w:hyperlink>
        </w:p>
        <w:p w14:paraId="5B15D438" w14:textId="77777777" w:rsidR="00133D7D" w:rsidRPr="00133D7D" w:rsidRDefault="00133D7D" w:rsidP="00133D7D">
          <w:pPr>
            <w:pStyle w:val="TOC2"/>
            <w:tabs>
              <w:tab w:val="left" w:pos="880"/>
              <w:tab w:val="right" w:leader="dot" w:pos="10456"/>
            </w:tabs>
            <w:spacing w:before="0" w:after="0"/>
            <w:rPr>
              <w:rFonts w:cstheme="minorBidi"/>
              <w:noProof/>
              <w:sz w:val="22"/>
              <w:szCs w:val="22"/>
              <w:lang w:val="hr-HR" w:eastAsia="hr-HR"/>
            </w:rPr>
          </w:pPr>
          <w:hyperlink w:anchor="_Toc144891683" w:history="1">
            <w:r w:rsidRPr="00133D7D">
              <w:rPr>
                <w:rStyle w:val="Hyperlink"/>
                <w:b/>
                <w:noProof/>
                <w:sz w:val="22"/>
                <w:szCs w:val="22"/>
              </w:rPr>
              <w:t>2.1.</w:t>
            </w:r>
            <w:r w:rsidRPr="00133D7D">
              <w:rPr>
                <w:rFonts w:cstheme="minorBidi"/>
                <w:noProof/>
                <w:sz w:val="22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b/>
                <w:noProof/>
                <w:sz w:val="22"/>
                <w:szCs w:val="22"/>
              </w:rPr>
              <w:t>PRIHODI I PRIMICI</w:t>
            </w:r>
            <w:r w:rsidRPr="00133D7D">
              <w:rPr>
                <w:noProof/>
                <w:webHidden/>
                <w:sz w:val="22"/>
                <w:szCs w:val="22"/>
              </w:rPr>
              <w:tab/>
            </w:r>
            <w:r w:rsidRPr="00133D7D">
              <w:rPr>
                <w:noProof/>
                <w:webHidden/>
                <w:sz w:val="22"/>
                <w:szCs w:val="22"/>
              </w:rPr>
              <w:fldChar w:fldCharType="begin"/>
            </w:r>
            <w:r w:rsidRPr="00133D7D">
              <w:rPr>
                <w:noProof/>
                <w:webHidden/>
                <w:sz w:val="22"/>
                <w:szCs w:val="22"/>
              </w:rPr>
              <w:instrText xml:space="preserve"> PAGEREF _Toc144891683 \h </w:instrText>
            </w:r>
            <w:r w:rsidRPr="00133D7D">
              <w:rPr>
                <w:noProof/>
                <w:webHidden/>
                <w:sz w:val="22"/>
                <w:szCs w:val="22"/>
              </w:rPr>
            </w:r>
            <w:r w:rsidRPr="00133D7D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33D7D">
              <w:rPr>
                <w:noProof/>
                <w:webHidden/>
                <w:sz w:val="22"/>
                <w:szCs w:val="22"/>
              </w:rPr>
              <w:t>2</w:t>
            </w:r>
            <w:r w:rsidRPr="00133D7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7B5968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84" w:history="1">
            <w:r w:rsidRPr="00133D7D">
              <w:rPr>
                <w:rStyle w:val="Hyperlink"/>
                <w:szCs w:val="22"/>
              </w:rPr>
              <w:t>2.1.1.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Prihodi od poreza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_Toc144891684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2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6A21EEA7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85" w:history="1">
            <w:r w:rsidRPr="00133D7D">
              <w:rPr>
                <w:rStyle w:val="Hyperlink"/>
                <w:szCs w:val="22"/>
              </w:rPr>
              <w:t>2.1.2.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Pomoći iz inozemstva i od subjekata unutar općeg proračuna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_Toc144891685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3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32CD70E2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86" w:history="1">
            <w:r w:rsidRPr="00133D7D">
              <w:rPr>
                <w:rStyle w:val="Hyperlink"/>
                <w:szCs w:val="22"/>
              </w:rPr>
              <w:t>2.1.3.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Prihodi od imovine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_Toc144891686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3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0E705D61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87" w:history="1">
            <w:r w:rsidRPr="00133D7D">
              <w:rPr>
                <w:rStyle w:val="Hyperlink"/>
                <w:szCs w:val="22"/>
              </w:rPr>
              <w:t>2.1.4.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Prihodi od upravnih i administrativnih pristojbi, pristojbi posebnim propisima i naknadama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_Toc144891687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4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07BB0C76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88" w:history="1">
            <w:r w:rsidRPr="00133D7D">
              <w:rPr>
                <w:rStyle w:val="Hyperlink"/>
                <w:szCs w:val="22"/>
              </w:rPr>
              <w:t>2.1.5.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Kazne, upravne mjere i ostali prihodi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_Toc144891688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4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2DD9C384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89" w:history="1">
            <w:r w:rsidRPr="00133D7D">
              <w:rPr>
                <w:rStyle w:val="Hyperlink"/>
                <w:szCs w:val="22"/>
              </w:rPr>
              <w:t>2.1.6.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Prihodi od prodaje nefinancijske imovine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_Toc144891689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4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162E5EB8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0" w:history="1">
            <w:r w:rsidRPr="00133D7D">
              <w:rPr>
                <w:rStyle w:val="Hyperlink"/>
                <w:szCs w:val="22"/>
              </w:rPr>
              <w:t>2.1.7.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Primici  od  financijske imovine i zaduživanja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_Toc144891690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5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0BF4826D" w14:textId="77777777" w:rsidR="00133D7D" w:rsidRPr="00133D7D" w:rsidRDefault="00133D7D" w:rsidP="00133D7D">
          <w:pPr>
            <w:pStyle w:val="TOC2"/>
            <w:tabs>
              <w:tab w:val="left" w:pos="880"/>
              <w:tab w:val="right" w:leader="dot" w:pos="10456"/>
            </w:tabs>
            <w:spacing w:before="0" w:after="0"/>
            <w:rPr>
              <w:rFonts w:cstheme="minorBidi"/>
              <w:noProof/>
              <w:sz w:val="22"/>
              <w:szCs w:val="22"/>
              <w:lang w:val="hr-HR" w:eastAsia="hr-HR"/>
            </w:rPr>
          </w:pPr>
          <w:hyperlink w:anchor="_Toc144891691" w:history="1">
            <w:r w:rsidRPr="00133D7D">
              <w:rPr>
                <w:rStyle w:val="Hyperlink"/>
                <w:b/>
                <w:noProof/>
                <w:sz w:val="22"/>
                <w:szCs w:val="22"/>
              </w:rPr>
              <w:t>2.2.</w:t>
            </w:r>
            <w:r w:rsidRPr="00133D7D">
              <w:rPr>
                <w:rFonts w:cstheme="minorBidi"/>
                <w:noProof/>
                <w:sz w:val="22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b/>
                <w:noProof/>
                <w:sz w:val="22"/>
                <w:szCs w:val="22"/>
              </w:rPr>
              <w:t>RASHODI I IZDACI</w:t>
            </w:r>
            <w:r w:rsidRPr="00133D7D">
              <w:rPr>
                <w:noProof/>
                <w:webHidden/>
                <w:sz w:val="22"/>
                <w:szCs w:val="22"/>
              </w:rPr>
              <w:tab/>
            </w:r>
            <w:r w:rsidRPr="00133D7D">
              <w:rPr>
                <w:noProof/>
                <w:webHidden/>
                <w:sz w:val="22"/>
                <w:szCs w:val="22"/>
              </w:rPr>
              <w:fldChar w:fldCharType="begin"/>
            </w:r>
            <w:r w:rsidRPr="00133D7D">
              <w:rPr>
                <w:noProof/>
                <w:webHidden/>
                <w:sz w:val="22"/>
                <w:szCs w:val="22"/>
              </w:rPr>
              <w:instrText xml:space="preserve"> PAGEREF _Toc144891691 \h </w:instrText>
            </w:r>
            <w:r w:rsidRPr="00133D7D">
              <w:rPr>
                <w:noProof/>
                <w:webHidden/>
                <w:sz w:val="22"/>
                <w:szCs w:val="22"/>
              </w:rPr>
            </w:r>
            <w:r w:rsidRPr="00133D7D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33D7D">
              <w:rPr>
                <w:noProof/>
                <w:webHidden/>
                <w:sz w:val="22"/>
                <w:szCs w:val="22"/>
              </w:rPr>
              <w:t>5</w:t>
            </w:r>
            <w:r w:rsidRPr="00133D7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3C514F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2" w:history="1">
            <w:r w:rsidRPr="00133D7D">
              <w:rPr>
                <w:rStyle w:val="Hyperlink"/>
                <w:szCs w:val="22"/>
              </w:rPr>
              <w:t>2.2.1.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Rashodi za zaposlene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_Toc144891692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5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2B082901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3" w:history="1">
            <w:r w:rsidRPr="00133D7D">
              <w:rPr>
                <w:rStyle w:val="Hyperlink"/>
                <w:szCs w:val="22"/>
              </w:rPr>
              <w:t>2.2.2.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Materijalni rashodi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_Toc144891693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6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7319D504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4" w:history="1">
            <w:r w:rsidRPr="00133D7D">
              <w:rPr>
                <w:rStyle w:val="Hyperlink"/>
                <w:szCs w:val="22"/>
              </w:rPr>
              <w:t>2.2.3.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Financijski rashodi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_Toc144891694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7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410DE97F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5" w:history="1">
            <w:r w:rsidRPr="00133D7D">
              <w:rPr>
                <w:rStyle w:val="Hyperlink"/>
                <w:szCs w:val="22"/>
              </w:rPr>
              <w:t>2.2.4.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Subvencije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_Toc144891695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7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4DC38E78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6" w:history="1">
            <w:r w:rsidRPr="00133D7D">
              <w:rPr>
                <w:rStyle w:val="Hyperlink"/>
                <w:szCs w:val="22"/>
              </w:rPr>
              <w:t>2.2.5.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Pomoći dane u inozemstvo i unutar općeg proračuna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_Toc144891696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7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623D698F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7" w:history="1">
            <w:r w:rsidRPr="00133D7D">
              <w:rPr>
                <w:rStyle w:val="Hyperlink"/>
                <w:szCs w:val="22"/>
              </w:rPr>
              <w:t>2.2.6.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Naknade građanima i kućanstvima na temelju osiguranja i druge naknade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_Toc144891697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8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6907763A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8" w:history="1">
            <w:r w:rsidRPr="00133D7D">
              <w:rPr>
                <w:rStyle w:val="Hyperlink"/>
                <w:szCs w:val="22"/>
              </w:rPr>
              <w:t>2.2.7.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Ostali rashodi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_Toc144891698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8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5E4F82C2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699" w:history="1">
            <w:r w:rsidRPr="00133D7D">
              <w:rPr>
                <w:rStyle w:val="Hyperlink"/>
                <w:szCs w:val="22"/>
              </w:rPr>
              <w:t>2.2.8.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Rashodi za nabavu neproizvedene dugotrajne imovine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_Toc144891699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8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2B5837B3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700" w:history="1">
            <w:r w:rsidRPr="00133D7D">
              <w:rPr>
                <w:rStyle w:val="Hyperlink"/>
                <w:szCs w:val="22"/>
              </w:rPr>
              <w:t>2.2.9.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Rashodi za nabavu proizvedene dugotrajne imovine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_Toc144891700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9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725DA517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701" w:history="1">
            <w:r w:rsidRPr="00133D7D">
              <w:rPr>
                <w:rStyle w:val="Hyperlink"/>
                <w:szCs w:val="22"/>
              </w:rPr>
              <w:t>2.2.10.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Rashodi za dodatna ulaganja na nefinancijskoj imovini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_Toc144891701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9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0D93661C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702" w:history="1">
            <w:r w:rsidRPr="00133D7D">
              <w:rPr>
                <w:rStyle w:val="Hyperlink"/>
                <w:szCs w:val="22"/>
              </w:rPr>
              <w:t>2.2.11.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szCs w:val="22"/>
              </w:rPr>
              <w:t>Izdaci za financijsku imovinu i otplate zajmova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_Toc144891702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9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6AC0F24C" w14:textId="77777777" w:rsidR="00133D7D" w:rsidRPr="00133D7D" w:rsidRDefault="00133D7D" w:rsidP="00133D7D">
          <w:pPr>
            <w:pStyle w:val="TOC1"/>
            <w:rPr>
              <w:rFonts w:cstheme="minorBidi"/>
              <w:noProof/>
              <w:lang w:val="hr-HR" w:eastAsia="hr-HR"/>
            </w:rPr>
          </w:pPr>
          <w:hyperlink w:anchor="_Toc144891703" w:history="1">
            <w:r w:rsidRPr="00133D7D">
              <w:rPr>
                <w:rStyle w:val="Hyperlink"/>
                <w:b/>
                <w:noProof/>
                <w:sz w:val="22"/>
                <w:szCs w:val="22"/>
                <w:lang w:eastAsia="hr-HR"/>
              </w:rPr>
              <w:t>3.</w:t>
            </w:r>
            <w:r w:rsidRPr="00133D7D">
              <w:rPr>
                <w:rFonts w:cstheme="minorBidi"/>
                <w:noProof/>
                <w:lang w:val="hr-HR" w:eastAsia="hr-HR"/>
              </w:rPr>
              <w:tab/>
            </w:r>
            <w:r w:rsidRPr="00133D7D">
              <w:rPr>
                <w:rStyle w:val="Hyperlink"/>
                <w:b/>
                <w:noProof/>
                <w:sz w:val="22"/>
                <w:szCs w:val="22"/>
                <w:lang w:eastAsia="hr-HR"/>
              </w:rPr>
              <w:t>IZVJEŠTAJ O ZADUŽIVANJU NA DOMAĆEM I STRANOM TRŽIŠTU NOVCA I KAPITALA</w:t>
            </w:r>
            <w:r w:rsidRPr="00133D7D">
              <w:rPr>
                <w:noProof/>
                <w:webHidden/>
              </w:rPr>
              <w:tab/>
            </w:r>
            <w:r w:rsidRPr="00133D7D">
              <w:rPr>
                <w:noProof/>
                <w:webHidden/>
              </w:rPr>
              <w:fldChar w:fldCharType="begin"/>
            </w:r>
            <w:r w:rsidRPr="00133D7D">
              <w:rPr>
                <w:noProof/>
                <w:webHidden/>
              </w:rPr>
              <w:instrText xml:space="preserve"> PAGEREF _Toc144891703 \h </w:instrText>
            </w:r>
            <w:r w:rsidRPr="00133D7D">
              <w:rPr>
                <w:noProof/>
                <w:webHidden/>
              </w:rPr>
            </w:r>
            <w:r w:rsidRPr="00133D7D">
              <w:rPr>
                <w:noProof/>
                <w:webHidden/>
              </w:rPr>
              <w:fldChar w:fldCharType="separate"/>
            </w:r>
            <w:r w:rsidRPr="00133D7D">
              <w:rPr>
                <w:noProof/>
                <w:webHidden/>
              </w:rPr>
              <w:t>11</w:t>
            </w:r>
            <w:r w:rsidRPr="00133D7D">
              <w:rPr>
                <w:noProof/>
                <w:webHidden/>
              </w:rPr>
              <w:fldChar w:fldCharType="end"/>
            </w:r>
          </w:hyperlink>
        </w:p>
        <w:p w14:paraId="071C3B4F" w14:textId="77777777" w:rsidR="00133D7D" w:rsidRPr="00133D7D" w:rsidRDefault="00133D7D" w:rsidP="00133D7D">
          <w:pPr>
            <w:pStyle w:val="TOC2"/>
            <w:tabs>
              <w:tab w:val="left" w:pos="880"/>
              <w:tab w:val="right" w:leader="dot" w:pos="10456"/>
            </w:tabs>
            <w:spacing w:before="0" w:after="0"/>
            <w:rPr>
              <w:rFonts w:cstheme="minorBidi"/>
              <w:noProof/>
              <w:sz w:val="22"/>
              <w:szCs w:val="22"/>
              <w:lang w:val="hr-HR" w:eastAsia="hr-HR"/>
            </w:rPr>
          </w:pPr>
          <w:hyperlink w:anchor="_Toc144891704" w:history="1">
            <w:r w:rsidRPr="00133D7D">
              <w:rPr>
                <w:rStyle w:val="Hyperlink"/>
                <w:rFonts w:eastAsia="Times New Roman"/>
                <w:b/>
                <w:noProof/>
                <w:sz w:val="22"/>
                <w:szCs w:val="22"/>
                <w:lang w:eastAsia="hr-HR"/>
              </w:rPr>
              <w:t>3.1.</w:t>
            </w:r>
            <w:r w:rsidRPr="00133D7D">
              <w:rPr>
                <w:rFonts w:cstheme="minorBidi"/>
                <w:noProof/>
                <w:sz w:val="22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rFonts w:eastAsia="Times New Roman"/>
                <w:b/>
                <w:noProof/>
                <w:sz w:val="22"/>
                <w:szCs w:val="22"/>
                <w:lang w:eastAsia="hr-HR"/>
              </w:rPr>
              <w:t>OBVEZE ZA PRIMLJENE KREDITE I ZAJMOVE</w:t>
            </w:r>
            <w:r w:rsidRPr="00133D7D">
              <w:rPr>
                <w:noProof/>
                <w:webHidden/>
                <w:sz w:val="22"/>
                <w:szCs w:val="22"/>
              </w:rPr>
              <w:tab/>
            </w:r>
            <w:r w:rsidRPr="00133D7D">
              <w:rPr>
                <w:noProof/>
                <w:webHidden/>
                <w:sz w:val="22"/>
                <w:szCs w:val="22"/>
              </w:rPr>
              <w:fldChar w:fldCharType="begin"/>
            </w:r>
            <w:r w:rsidRPr="00133D7D">
              <w:rPr>
                <w:noProof/>
                <w:webHidden/>
                <w:sz w:val="22"/>
                <w:szCs w:val="22"/>
              </w:rPr>
              <w:instrText xml:space="preserve"> PAGEREF _Toc144891704 \h </w:instrText>
            </w:r>
            <w:r w:rsidRPr="00133D7D">
              <w:rPr>
                <w:noProof/>
                <w:webHidden/>
                <w:sz w:val="22"/>
                <w:szCs w:val="22"/>
              </w:rPr>
            </w:r>
            <w:r w:rsidRPr="00133D7D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133D7D">
              <w:rPr>
                <w:noProof/>
                <w:webHidden/>
                <w:sz w:val="22"/>
                <w:szCs w:val="22"/>
              </w:rPr>
              <w:t>11</w:t>
            </w:r>
            <w:r w:rsidRPr="00133D7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1BF62D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705" w:history="1">
            <w:r w:rsidRPr="00133D7D">
              <w:rPr>
                <w:rStyle w:val="Hyperlink"/>
                <w:rFonts w:eastAsia="Times New Roman"/>
                <w:szCs w:val="22"/>
                <w:lang w:eastAsia="hr-HR"/>
              </w:rPr>
              <w:t>3.1.1.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rFonts w:eastAsia="Times New Roman"/>
                <w:szCs w:val="22"/>
                <w:lang w:eastAsia="hr-HR"/>
              </w:rPr>
              <w:t>Dugoročni krediti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_Toc144891705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11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08C00A32" w14:textId="77777777" w:rsidR="00133D7D" w:rsidRPr="00133D7D" w:rsidRDefault="00133D7D" w:rsidP="00133D7D">
          <w:pPr>
            <w:pStyle w:val="TOC3"/>
            <w:rPr>
              <w:rFonts w:cstheme="minorBidi"/>
              <w:szCs w:val="22"/>
              <w:lang w:val="hr-HR" w:eastAsia="hr-HR"/>
            </w:rPr>
          </w:pPr>
          <w:hyperlink w:anchor="_Toc144891706" w:history="1">
            <w:r w:rsidRPr="00133D7D">
              <w:rPr>
                <w:rStyle w:val="Hyperlink"/>
                <w:rFonts w:eastAsia="Times New Roman"/>
                <w:szCs w:val="22"/>
              </w:rPr>
              <w:t>3.1.2.</w:t>
            </w:r>
            <w:r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Pr="00133D7D">
              <w:rPr>
                <w:rStyle w:val="Hyperlink"/>
                <w:rFonts w:eastAsia="Times New Roman"/>
                <w:szCs w:val="22"/>
              </w:rPr>
              <w:t>Kratkoročni zajmovi</w:t>
            </w:r>
            <w:r w:rsidRPr="00133D7D">
              <w:rPr>
                <w:webHidden/>
                <w:szCs w:val="22"/>
              </w:rPr>
              <w:tab/>
            </w:r>
            <w:r w:rsidRPr="00133D7D">
              <w:rPr>
                <w:webHidden/>
                <w:szCs w:val="22"/>
              </w:rPr>
              <w:fldChar w:fldCharType="begin"/>
            </w:r>
            <w:r w:rsidRPr="00133D7D">
              <w:rPr>
                <w:webHidden/>
                <w:szCs w:val="22"/>
              </w:rPr>
              <w:instrText xml:space="preserve"> PAGEREF _Toc144891706 \h </w:instrText>
            </w:r>
            <w:r w:rsidRPr="00133D7D">
              <w:rPr>
                <w:webHidden/>
                <w:szCs w:val="22"/>
              </w:rPr>
            </w:r>
            <w:r w:rsidRPr="00133D7D">
              <w:rPr>
                <w:webHidden/>
                <w:szCs w:val="22"/>
              </w:rPr>
              <w:fldChar w:fldCharType="separate"/>
            </w:r>
            <w:r w:rsidRPr="00133D7D">
              <w:rPr>
                <w:webHidden/>
                <w:szCs w:val="22"/>
              </w:rPr>
              <w:t>12</w:t>
            </w:r>
            <w:r w:rsidRPr="00133D7D">
              <w:rPr>
                <w:webHidden/>
                <w:szCs w:val="22"/>
              </w:rPr>
              <w:fldChar w:fldCharType="end"/>
            </w:r>
          </w:hyperlink>
        </w:p>
        <w:p w14:paraId="4A53DE94" w14:textId="77777777" w:rsidR="00133D7D" w:rsidRPr="00133D7D" w:rsidRDefault="00133D7D" w:rsidP="00133D7D">
          <w:pPr>
            <w:pStyle w:val="TOC1"/>
            <w:rPr>
              <w:rFonts w:cstheme="minorBidi"/>
              <w:noProof/>
              <w:lang w:val="hr-HR" w:eastAsia="hr-HR"/>
            </w:rPr>
          </w:pPr>
          <w:hyperlink w:anchor="_Toc144891707" w:history="1">
            <w:r w:rsidRPr="00133D7D">
              <w:rPr>
                <w:rStyle w:val="Hyperlink"/>
                <w:b/>
                <w:noProof/>
                <w:sz w:val="22"/>
                <w:szCs w:val="22"/>
              </w:rPr>
              <w:t>4.</w:t>
            </w:r>
            <w:r w:rsidRPr="00133D7D">
              <w:rPr>
                <w:rFonts w:cstheme="minorBidi"/>
                <w:noProof/>
                <w:lang w:val="hr-HR" w:eastAsia="hr-HR"/>
              </w:rPr>
              <w:tab/>
            </w:r>
            <w:r w:rsidRPr="00133D7D">
              <w:rPr>
                <w:rStyle w:val="Hyperlink"/>
                <w:b/>
                <w:noProof/>
                <w:sz w:val="22"/>
                <w:szCs w:val="22"/>
              </w:rPr>
              <w:t>IZVJEŠTAJ O DANIM JAMSTVIMA I IZDACIMA PO DANIM JAMSTVIMA</w:t>
            </w:r>
            <w:r w:rsidRPr="00133D7D">
              <w:rPr>
                <w:noProof/>
                <w:webHidden/>
              </w:rPr>
              <w:tab/>
            </w:r>
            <w:r w:rsidRPr="00133D7D">
              <w:rPr>
                <w:noProof/>
                <w:webHidden/>
              </w:rPr>
              <w:fldChar w:fldCharType="begin"/>
            </w:r>
            <w:r w:rsidRPr="00133D7D">
              <w:rPr>
                <w:noProof/>
                <w:webHidden/>
              </w:rPr>
              <w:instrText xml:space="preserve"> PAGEREF _Toc144891707 \h </w:instrText>
            </w:r>
            <w:r w:rsidRPr="00133D7D">
              <w:rPr>
                <w:noProof/>
                <w:webHidden/>
              </w:rPr>
            </w:r>
            <w:r w:rsidRPr="00133D7D">
              <w:rPr>
                <w:noProof/>
                <w:webHidden/>
              </w:rPr>
              <w:fldChar w:fldCharType="separate"/>
            </w:r>
            <w:r w:rsidRPr="00133D7D">
              <w:rPr>
                <w:noProof/>
                <w:webHidden/>
              </w:rPr>
              <w:t>12</w:t>
            </w:r>
            <w:r w:rsidRPr="00133D7D">
              <w:rPr>
                <w:noProof/>
                <w:webHidden/>
              </w:rPr>
              <w:fldChar w:fldCharType="end"/>
            </w:r>
          </w:hyperlink>
        </w:p>
        <w:p w14:paraId="0E8EB95F" w14:textId="77777777" w:rsidR="00133D7D" w:rsidRPr="00133D7D" w:rsidRDefault="00133D7D" w:rsidP="00133D7D">
          <w:pPr>
            <w:pStyle w:val="TOC1"/>
            <w:rPr>
              <w:rFonts w:cstheme="minorBidi"/>
              <w:noProof/>
              <w:lang w:val="hr-HR" w:eastAsia="hr-HR"/>
            </w:rPr>
          </w:pPr>
          <w:hyperlink w:anchor="_Toc144891708" w:history="1">
            <w:r w:rsidRPr="00133D7D">
              <w:rPr>
                <w:rStyle w:val="Hyperlink"/>
                <w:b/>
                <w:noProof/>
                <w:sz w:val="22"/>
                <w:szCs w:val="22"/>
              </w:rPr>
              <w:t>5.</w:t>
            </w:r>
            <w:r w:rsidRPr="00133D7D">
              <w:rPr>
                <w:rFonts w:cstheme="minorBidi"/>
                <w:noProof/>
                <w:lang w:val="hr-HR" w:eastAsia="hr-HR"/>
              </w:rPr>
              <w:tab/>
            </w:r>
            <w:r w:rsidRPr="00133D7D">
              <w:rPr>
                <w:rStyle w:val="Hyperlink"/>
                <w:b/>
                <w:noProof/>
                <w:sz w:val="22"/>
                <w:szCs w:val="22"/>
              </w:rPr>
              <w:t>IZVJEŠTAJ O KORIŠTENJU SR</w:t>
            </w:r>
            <w:r w:rsidRPr="00133D7D">
              <w:rPr>
                <w:rStyle w:val="Hyperlink"/>
                <w:b/>
                <w:noProof/>
                <w:sz w:val="22"/>
                <w:szCs w:val="22"/>
              </w:rPr>
              <w:t>E</w:t>
            </w:r>
            <w:r w:rsidRPr="00133D7D">
              <w:rPr>
                <w:rStyle w:val="Hyperlink"/>
                <w:b/>
                <w:noProof/>
                <w:sz w:val="22"/>
                <w:szCs w:val="22"/>
              </w:rPr>
              <w:t>DSTAVA PRORAČUNSKE ZALIHE</w:t>
            </w:r>
            <w:r w:rsidRPr="00133D7D">
              <w:rPr>
                <w:noProof/>
                <w:webHidden/>
              </w:rPr>
              <w:tab/>
            </w:r>
            <w:r w:rsidRPr="00133D7D">
              <w:rPr>
                <w:noProof/>
                <w:webHidden/>
              </w:rPr>
              <w:fldChar w:fldCharType="begin"/>
            </w:r>
            <w:r w:rsidRPr="00133D7D">
              <w:rPr>
                <w:noProof/>
                <w:webHidden/>
              </w:rPr>
              <w:instrText xml:space="preserve"> PAGEREF _Toc144891708 \h </w:instrText>
            </w:r>
            <w:r w:rsidRPr="00133D7D">
              <w:rPr>
                <w:noProof/>
                <w:webHidden/>
              </w:rPr>
            </w:r>
            <w:r w:rsidRPr="00133D7D">
              <w:rPr>
                <w:noProof/>
                <w:webHidden/>
              </w:rPr>
              <w:fldChar w:fldCharType="separate"/>
            </w:r>
            <w:r w:rsidRPr="00133D7D">
              <w:rPr>
                <w:noProof/>
                <w:webHidden/>
              </w:rPr>
              <w:t>12</w:t>
            </w:r>
            <w:r w:rsidRPr="00133D7D">
              <w:rPr>
                <w:noProof/>
                <w:webHidden/>
              </w:rPr>
              <w:fldChar w:fldCharType="end"/>
            </w:r>
          </w:hyperlink>
        </w:p>
        <w:p w14:paraId="0B578125" w14:textId="18BEAE85" w:rsidR="00DA6E26" w:rsidRPr="00781E6C" w:rsidRDefault="00781E6C" w:rsidP="00781E6C">
          <w:r>
            <w:rPr>
              <w:b/>
              <w:bCs/>
              <w:noProof/>
            </w:rPr>
            <w:fldChar w:fldCharType="end"/>
          </w:r>
        </w:p>
      </w:sdtContent>
    </w:sdt>
    <w:p w14:paraId="1C9D09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  <w:sectPr w:rsidR="00DA6E26" w:rsidRPr="00000576" w:rsidSect="00DA6E26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855865F" w14:textId="77777777" w:rsidR="003E3931" w:rsidRPr="00000576" w:rsidRDefault="003E3931" w:rsidP="00165728">
      <w:pPr>
        <w:pStyle w:val="Heading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3" w:name="_Toc144891681"/>
      <w:r w:rsidRPr="00000576">
        <w:rPr>
          <w:rFonts w:cstheme="minorHAnsi"/>
          <w:b/>
        </w:rPr>
        <w:lastRenderedPageBreak/>
        <w:t>UVOD</w:t>
      </w:r>
      <w:bookmarkEnd w:id="3"/>
    </w:p>
    <w:p w14:paraId="08F349B4" w14:textId="446C6DFF" w:rsidR="00023CB8" w:rsidRPr="00023CB8" w:rsidRDefault="00023CB8" w:rsidP="00023C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23CB8">
        <w:rPr>
          <w:rFonts w:cstheme="minorHAnsi"/>
          <w:sz w:val="22"/>
          <w:szCs w:val="22"/>
        </w:rPr>
        <w:t xml:space="preserve">Odredbom članka </w:t>
      </w:r>
      <w:r w:rsidR="00471FBC">
        <w:rPr>
          <w:rFonts w:cstheme="minorHAnsi"/>
          <w:sz w:val="22"/>
          <w:szCs w:val="22"/>
        </w:rPr>
        <w:t>8</w:t>
      </w:r>
      <w:r w:rsidR="009A702F">
        <w:rPr>
          <w:rFonts w:cstheme="minorHAnsi"/>
          <w:sz w:val="22"/>
          <w:szCs w:val="22"/>
        </w:rPr>
        <w:t>8</w:t>
      </w:r>
      <w:r w:rsidRPr="00023CB8">
        <w:rPr>
          <w:rFonts w:cstheme="minorHAnsi"/>
          <w:sz w:val="22"/>
          <w:szCs w:val="22"/>
        </w:rPr>
        <w:t>. Zakon</w:t>
      </w:r>
      <w:r w:rsidR="00471FBC">
        <w:rPr>
          <w:rFonts w:cstheme="minorHAnsi"/>
          <w:sz w:val="22"/>
          <w:szCs w:val="22"/>
        </w:rPr>
        <w:t>a</w:t>
      </w:r>
      <w:r w:rsidRPr="00023CB8">
        <w:rPr>
          <w:rFonts w:cstheme="minorHAnsi"/>
          <w:sz w:val="22"/>
          <w:szCs w:val="22"/>
        </w:rPr>
        <w:t xml:space="preserve"> o proračunu (Narodne novine br. </w:t>
      </w:r>
      <w:r w:rsidR="00471FBC">
        <w:rPr>
          <w:rFonts w:cstheme="minorHAnsi"/>
          <w:sz w:val="22"/>
          <w:szCs w:val="22"/>
        </w:rPr>
        <w:t>144/21</w:t>
      </w:r>
      <w:r w:rsidRPr="00023CB8">
        <w:rPr>
          <w:rFonts w:cstheme="minorHAnsi"/>
          <w:sz w:val="22"/>
          <w:szCs w:val="22"/>
        </w:rPr>
        <w:t xml:space="preserve">), utvrđena je obveza </w:t>
      </w:r>
      <w:r w:rsidR="00471FBC">
        <w:rPr>
          <w:rFonts w:cstheme="minorHAnsi"/>
          <w:sz w:val="22"/>
          <w:szCs w:val="22"/>
        </w:rPr>
        <w:t>općinskog načelnika</w:t>
      </w:r>
      <w:r w:rsidRPr="00023CB8">
        <w:rPr>
          <w:rFonts w:cstheme="minorHAnsi"/>
          <w:sz w:val="22"/>
          <w:szCs w:val="22"/>
        </w:rPr>
        <w:t xml:space="preserve"> da podnese prijedlog </w:t>
      </w:r>
      <w:r w:rsidR="009A702F">
        <w:rPr>
          <w:rFonts w:cstheme="minorHAnsi"/>
          <w:sz w:val="22"/>
          <w:szCs w:val="22"/>
        </w:rPr>
        <w:t>polu</w:t>
      </w:r>
      <w:r w:rsidRPr="00023CB8">
        <w:rPr>
          <w:rFonts w:cstheme="minorHAnsi"/>
          <w:sz w:val="22"/>
          <w:szCs w:val="22"/>
        </w:rPr>
        <w:t xml:space="preserve">godišnjeg izvješća o izvršenju proračuna za tekuću godinu predstavničkom tijelu na donošenje, najkasnije do </w:t>
      </w:r>
      <w:r w:rsidR="00471FBC">
        <w:rPr>
          <w:rFonts w:cstheme="minorHAnsi"/>
          <w:sz w:val="22"/>
          <w:szCs w:val="22"/>
        </w:rPr>
        <w:t>3</w:t>
      </w:r>
      <w:r w:rsidR="009A702F">
        <w:rPr>
          <w:rFonts w:cstheme="minorHAnsi"/>
          <w:sz w:val="22"/>
          <w:szCs w:val="22"/>
        </w:rPr>
        <w:t>0</w:t>
      </w:r>
      <w:r w:rsidRPr="00023CB8">
        <w:rPr>
          <w:rFonts w:cstheme="minorHAnsi"/>
          <w:sz w:val="22"/>
          <w:szCs w:val="22"/>
        </w:rPr>
        <w:t xml:space="preserve">. </w:t>
      </w:r>
      <w:r w:rsidR="009A702F">
        <w:rPr>
          <w:rFonts w:cstheme="minorHAnsi"/>
          <w:sz w:val="22"/>
          <w:szCs w:val="22"/>
        </w:rPr>
        <w:t>rujna</w:t>
      </w:r>
      <w:r w:rsidRPr="00023CB8">
        <w:rPr>
          <w:rFonts w:cstheme="minorHAnsi"/>
          <w:sz w:val="22"/>
          <w:szCs w:val="22"/>
        </w:rPr>
        <w:t xml:space="preserve"> tekuće godine.</w:t>
      </w:r>
    </w:p>
    <w:p w14:paraId="3E6A496A" w14:textId="2705E540" w:rsidR="00FE152E" w:rsidRPr="00000576" w:rsidRDefault="00FE152E" w:rsidP="00000576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Člankom 4. Pravilnika o polugodišnjem i godišnjem izvještaju o izvršenju proračuna</w:t>
      </w:r>
      <w:r w:rsidR="009A702F">
        <w:rPr>
          <w:rFonts w:cstheme="minorHAnsi"/>
          <w:sz w:val="22"/>
          <w:szCs w:val="22"/>
        </w:rPr>
        <w:t xml:space="preserve"> i financijskog plana (Narodne novine, broj 85/23)</w:t>
      </w:r>
      <w:r w:rsidRPr="00000576">
        <w:rPr>
          <w:rFonts w:cstheme="minorHAnsi"/>
          <w:sz w:val="22"/>
          <w:szCs w:val="22"/>
        </w:rPr>
        <w:t xml:space="preserve">, utvrđeno je da </w:t>
      </w:r>
      <w:r w:rsidR="00023CB8">
        <w:rPr>
          <w:rFonts w:cstheme="minorHAnsi"/>
          <w:sz w:val="22"/>
          <w:szCs w:val="22"/>
        </w:rPr>
        <w:t>polu</w:t>
      </w:r>
      <w:r w:rsidRPr="00000576">
        <w:rPr>
          <w:rFonts w:cstheme="minorHAnsi"/>
          <w:sz w:val="22"/>
          <w:szCs w:val="22"/>
        </w:rPr>
        <w:t xml:space="preserve">godišnji izvještaj o izvršenju proračuna sadrži: </w:t>
      </w:r>
    </w:p>
    <w:p w14:paraId="303B7A57" w14:textId="384E61D4" w:rsidR="00FE152E" w:rsidRPr="00000576" w:rsidRDefault="00FE152E" w:rsidP="00165728">
      <w:pPr>
        <w:pStyle w:val="ListParagraph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opći dio </w:t>
      </w:r>
      <w:r w:rsidR="009A702F">
        <w:rPr>
          <w:rFonts w:cstheme="minorHAnsi"/>
          <w:sz w:val="22"/>
          <w:szCs w:val="22"/>
        </w:rPr>
        <w:t>(sažetak, r</w:t>
      </w:r>
      <w:r w:rsidRPr="00000576">
        <w:rPr>
          <w:rFonts w:cstheme="minorHAnsi"/>
          <w:sz w:val="22"/>
          <w:szCs w:val="22"/>
        </w:rPr>
        <w:t xml:space="preserve">ačun prihoda i rashoda i </w:t>
      </w:r>
      <w:r w:rsidR="009A702F">
        <w:rPr>
          <w:rFonts w:cstheme="minorHAnsi"/>
          <w:sz w:val="22"/>
          <w:szCs w:val="22"/>
        </w:rPr>
        <w:t>r</w:t>
      </w:r>
      <w:r w:rsidRPr="00000576">
        <w:rPr>
          <w:rFonts w:cstheme="minorHAnsi"/>
          <w:sz w:val="22"/>
          <w:szCs w:val="22"/>
        </w:rPr>
        <w:t>ačun financiranja</w:t>
      </w:r>
      <w:r w:rsidR="009A702F">
        <w:rPr>
          <w:rFonts w:cstheme="minorHAnsi"/>
          <w:sz w:val="22"/>
          <w:szCs w:val="22"/>
        </w:rPr>
        <w:t>)</w:t>
      </w:r>
    </w:p>
    <w:p w14:paraId="15787091" w14:textId="0725B2FD" w:rsidR="00FE152E" w:rsidRPr="00000576" w:rsidRDefault="00FE152E" w:rsidP="00165728">
      <w:pPr>
        <w:pStyle w:val="ListParagraph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posebni dio </w:t>
      </w:r>
      <w:r w:rsidR="009A702F">
        <w:rPr>
          <w:rFonts w:cstheme="minorHAnsi"/>
          <w:sz w:val="22"/>
          <w:szCs w:val="22"/>
        </w:rPr>
        <w:t>(izvještaj</w:t>
      </w:r>
      <w:r w:rsidRPr="00000576">
        <w:rPr>
          <w:rFonts w:cstheme="minorHAnsi"/>
          <w:sz w:val="22"/>
          <w:szCs w:val="22"/>
        </w:rPr>
        <w:t xml:space="preserve"> po organizacijskoj i programskoj klasifikaciji</w:t>
      </w:r>
      <w:r w:rsidR="009A702F">
        <w:rPr>
          <w:rFonts w:cstheme="minorHAnsi"/>
          <w:sz w:val="22"/>
          <w:szCs w:val="22"/>
        </w:rPr>
        <w:t>)</w:t>
      </w:r>
      <w:r w:rsidRPr="00000576">
        <w:rPr>
          <w:rFonts w:cstheme="minorHAnsi"/>
          <w:sz w:val="22"/>
          <w:szCs w:val="22"/>
        </w:rPr>
        <w:t xml:space="preserve"> </w:t>
      </w:r>
    </w:p>
    <w:p w14:paraId="4C504117" w14:textId="215DC748" w:rsidR="009A702F" w:rsidRDefault="009A702F" w:rsidP="00165728">
      <w:pPr>
        <w:pStyle w:val="ListParagraph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obrazloženje (</w:t>
      </w:r>
      <w:r w:rsidRPr="00000576">
        <w:rPr>
          <w:rFonts w:cstheme="minorHAnsi"/>
          <w:sz w:val="22"/>
          <w:szCs w:val="22"/>
        </w:rPr>
        <w:t>ostvarenj</w:t>
      </w:r>
      <w:r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prihoda i primitaka te rashoda i izdataka</w:t>
      </w:r>
      <w:r>
        <w:rPr>
          <w:rFonts w:cstheme="minorHAnsi"/>
          <w:sz w:val="22"/>
          <w:szCs w:val="22"/>
        </w:rPr>
        <w:t>)</w:t>
      </w:r>
    </w:p>
    <w:p w14:paraId="420B88D6" w14:textId="1E617CF0" w:rsidR="009A702F" w:rsidRPr="00000576" w:rsidRDefault="009A702F" w:rsidP="009A702F">
      <w:pPr>
        <w:pStyle w:val="ListParagraph"/>
        <w:numPr>
          <w:ilvl w:val="0"/>
          <w:numId w:val="3"/>
        </w:numPr>
        <w:spacing w:before="0" w:after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posebne izvještaje (</w:t>
      </w:r>
      <w:r w:rsidRPr="00000576">
        <w:rPr>
          <w:rFonts w:cstheme="minorHAnsi"/>
          <w:sz w:val="22"/>
          <w:szCs w:val="22"/>
        </w:rPr>
        <w:t>izvještaj o korištenju proračunske zalihe</w:t>
      </w:r>
      <w:r>
        <w:rPr>
          <w:rFonts w:cstheme="minorHAnsi"/>
          <w:sz w:val="22"/>
          <w:szCs w:val="22"/>
        </w:rPr>
        <w:t>,</w:t>
      </w:r>
      <w:r w:rsidRPr="00000576">
        <w:rPr>
          <w:rFonts w:cstheme="minorHAnsi"/>
          <w:sz w:val="22"/>
          <w:szCs w:val="22"/>
        </w:rPr>
        <w:t xml:space="preserve"> izvještaj o zaduživanju na domaćem i stranom tržištu novca i kapitala </w:t>
      </w:r>
      <w:r>
        <w:rPr>
          <w:rFonts w:cstheme="minorHAnsi"/>
          <w:sz w:val="22"/>
          <w:szCs w:val="22"/>
        </w:rPr>
        <w:t>i</w:t>
      </w:r>
      <w:r w:rsidRPr="009A702F">
        <w:rPr>
          <w:rFonts w:cstheme="minorHAnsi"/>
          <w:sz w:val="22"/>
          <w:szCs w:val="22"/>
        </w:rPr>
        <w:t xml:space="preserve"> </w:t>
      </w:r>
      <w:r w:rsidRPr="00000576">
        <w:rPr>
          <w:rFonts w:cstheme="minorHAnsi"/>
          <w:sz w:val="22"/>
          <w:szCs w:val="22"/>
        </w:rPr>
        <w:t xml:space="preserve">izvještaj o danim jamstvima i </w:t>
      </w:r>
      <w:r>
        <w:rPr>
          <w:rFonts w:cstheme="minorHAnsi"/>
          <w:sz w:val="22"/>
          <w:szCs w:val="22"/>
        </w:rPr>
        <w:t>plaćanjima po protestiranim jamstvima)</w:t>
      </w:r>
    </w:p>
    <w:p w14:paraId="1A1720C7" w14:textId="5A33C281" w:rsidR="00043D16" w:rsidRPr="00000576" w:rsidRDefault="00043D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skladu sa zakonskom obvezom, sastavljen je </w:t>
      </w:r>
      <w:r w:rsidR="009A702F">
        <w:rPr>
          <w:rFonts w:cstheme="minorHAnsi"/>
          <w:sz w:val="22"/>
          <w:szCs w:val="22"/>
        </w:rPr>
        <w:t>Polug</w:t>
      </w:r>
      <w:r w:rsidRPr="00000576">
        <w:rPr>
          <w:rFonts w:cstheme="minorHAnsi"/>
          <w:sz w:val="22"/>
          <w:szCs w:val="22"/>
        </w:rPr>
        <w:t>odišnji izvještaj o izvršenju Proračuna.</w:t>
      </w:r>
    </w:p>
    <w:p w14:paraId="1B7CF93A" w14:textId="77777777" w:rsidR="00B90569" w:rsidRDefault="00B90569" w:rsidP="00B90569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Tijekom travnja 2023. godine Općinski načelnik donio je Odluku o </w:t>
      </w:r>
      <w:r w:rsidRPr="00B90569">
        <w:rPr>
          <w:rFonts w:cstheme="minorHAnsi"/>
          <w:sz w:val="22"/>
          <w:szCs w:val="22"/>
        </w:rPr>
        <w:t>preraspodjeli sredstava planiranih u Proračunu Općine Levanjska Varoš za 2023. godinu</w:t>
      </w:r>
      <w:r>
        <w:rPr>
          <w:rFonts w:cstheme="minorHAnsi"/>
          <w:sz w:val="22"/>
          <w:szCs w:val="22"/>
        </w:rPr>
        <w:t xml:space="preserve">, čime </w:t>
      </w:r>
      <w:r w:rsidRPr="00B90569">
        <w:rPr>
          <w:rFonts w:cstheme="minorHAnsi"/>
          <w:sz w:val="22"/>
          <w:szCs w:val="22"/>
        </w:rPr>
        <w:t>su izmijenjeni planski iznosi</w:t>
      </w:r>
      <w:r>
        <w:rPr>
          <w:rFonts w:cstheme="minorHAnsi"/>
          <w:sz w:val="22"/>
          <w:szCs w:val="22"/>
        </w:rPr>
        <w:t xml:space="preserve"> </w:t>
      </w:r>
      <w:r w:rsidRPr="00B90569">
        <w:rPr>
          <w:rFonts w:cstheme="minorHAnsi"/>
          <w:sz w:val="22"/>
          <w:szCs w:val="22"/>
        </w:rPr>
        <w:t>pojedinih stavk</w:t>
      </w:r>
      <w:r>
        <w:rPr>
          <w:rFonts w:cstheme="minorHAnsi"/>
          <w:sz w:val="22"/>
          <w:szCs w:val="22"/>
        </w:rPr>
        <w:t>i rashoda</w:t>
      </w:r>
      <w:r w:rsidRPr="00B90569">
        <w:rPr>
          <w:rFonts w:cstheme="minorHAnsi"/>
          <w:sz w:val="22"/>
          <w:szCs w:val="22"/>
        </w:rPr>
        <w:t xml:space="preserve"> radi osiguranja sredstava za sufinanciranje nabave vatrogasnog kamiona (cisterne) za DVD Levanjska Varoš</w:t>
      </w:r>
      <w:r>
        <w:rPr>
          <w:rFonts w:cstheme="minorHAnsi"/>
          <w:sz w:val="22"/>
          <w:szCs w:val="22"/>
        </w:rPr>
        <w:t>,</w:t>
      </w:r>
      <w:r w:rsidRPr="00B90569">
        <w:rPr>
          <w:rFonts w:cstheme="minorHAnsi"/>
          <w:sz w:val="22"/>
          <w:szCs w:val="22"/>
        </w:rPr>
        <w:t xml:space="preserve"> ali je ukupan iznos rashoda proračuna ostao nepromijenjen, odnosno u</w:t>
      </w:r>
      <w:r>
        <w:rPr>
          <w:rFonts w:cstheme="minorHAnsi"/>
          <w:sz w:val="22"/>
          <w:szCs w:val="22"/>
        </w:rPr>
        <w:t xml:space="preserve"> </w:t>
      </w:r>
      <w:r w:rsidRPr="00B90569">
        <w:rPr>
          <w:rFonts w:cstheme="minorHAnsi"/>
          <w:sz w:val="22"/>
          <w:szCs w:val="22"/>
        </w:rPr>
        <w:t xml:space="preserve">iznosu od </w:t>
      </w:r>
      <w:r>
        <w:rPr>
          <w:rFonts w:cstheme="minorHAnsi"/>
          <w:sz w:val="22"/>
          <w:szCs w:val="22"/>
        </w:rPr>
        <w:t>1.792.500,00 eura</w:t>
      </w:r>
      <w:r w:rsidRPr="00B90569">
        <w:rPr>
          <w:rFonts w:cstheme="minorHAnsi"/>
          <w:sz w:val="22"/>
          <w:szCs w:val="22"/>
        </w:rPr>
        <w:t xml:space="preserve">. </w:t>
      </w:r>
    </w:p>
    <w:p w14:paraId="4961F9F1" w14:textId="3F4D1CA8" w:rsidR="00B90569" w:rsidRDefault="00B90569" w:rsidP="00B90569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Sukladno propisima</w:t>
      </w:r>
      <w:r w:rsidRPr="00B9056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Općinski načelnik</w:t>
      </w:r>
      <w:r w:rsidRPr="00B90569">
        <w:rPr>
          <w:rFonts w:cstheme="minorHAnsi"/>
          <w:sz w:val="22"/>
          <w:szCs w:val="22"/>
        </w:rPr>
        <w:t xml:space="preserve"> izvještava </w:t>
      </w:r>
      <w:r>
        <w:rPr>
          <w:rFonts w:cstheme="minorHAnsi"/>
          <w:sz w:val="22"/>
          <w:szCs w:val="22"/>
        </w:rPr>
        <w:t xml:space="preserve">Općinsko </w:t>
      </w:r>
      <w:r w:rsidRPr="00B90569">
        <w:rPr>
          <w:rFonts w:cstheme="minorHAnsi"/>
          <w:sz w:val="22"/>
          <w:szCs w:val="22"/>
        </w:rPr>
        <w:t xml:space="preserve">vijeće </w:t>
      </w:r>
      <w:r>
        <w:rPr>
          <w:rFonts w:cstheme="minorHAnsi"/>
          <w:sz w:val="22"/>
          <w:szCs w:val="22"/>
        </w:rPr>
        <w:t xml:space="preserve">o izvršenim preraspodjelama </w:t>
      </w:r>
      <w:r w:rsidRPr="00B90569">
        <w:rPr>
          <w:rFonts w:cstheme="minorHAnsi"/>
          <w:sz w:val="22"/>
          <w:szCs w:val="22"/>
        </w:rPr>
        <w:t>prilikom podnošenja polugodišnjeg i godišnjeg izvještaja o izvršenju proračuna</w:t>
      </w:r>
      <w:r>
        <w:rPr>
          <w:rFonts w:cstheme="minorHAnsi"/>
          <w:sz w:val="22"/>
          <w:szCs w:val="22"/>
        </w:rPr>
        <w:t>, s</w:t>
      </w:r>
      <w:r w:rsidRPr="00B90569">
        <w:rPr>
          <w:rFonts w:cstheme="minorHAnsi"/>
          <w:sz w:val="22"/>
          <w:szCs w:val="22"/>
        </w:rPr>
        <w:t>toga su</w:t>
      </w:r>
      <w:r>
        <w:rPr>
          <w:rFonts w:cstheme="minorHAnsi"/>
          <w:sz w:val="22"/>
          <w:szCs w:val="22"/>
        </w:rPr>
        <w:t xml:space="preserve"> </w:t>
      </w:r>
      <w:r w:rsidRPr="00B90569">
        <w:rPr>
          <w:rFonts w:cstheme="minorHAnsi"/>
          <w:sz w:val="22"/>
          <w:szCs w:val="22"/>
        </w:rPr>
        <w:t xml:space="preserve">izvršene preraspodjele vidljive u općem i posebnom dijelu </w:t>
      </w:r>
      <w:r w:rsidR="00DA487E">
        <w:rPr>
          <w:rFonts w:cstheme="minorHAnsi"/>
          <w:sz w:val="22"/>
          <w:szCs w:val="22"/>
        </w:rPr>
        <w:t>Polug</w:t>
      </w:r>
      <w:r w:rsidRPr="00B90569">
        <w:rPr>
          <w:rFonts w:cstheme="minorHAnsi"/>
          <w:sz w:val="22"/>
          <w:szCs w:val="22"/>
        </w:rPr>
        <w:t>odišnjeg izvještaja o izvršenju</w:t>
      </w:r>
      <w:r w:rsidR="00DA487E">
        <w:rPr>
          <w:rFonts w:cstheme="minorHAnsi"/>
          <w:sz w:val="22"/>
          <w:szCs w:val="22"/>
        </w:rPr>
        <w:t xml:space="preserve"> </w:t>
      </w:r>
      <w:r w:rsidRPr="00B90569">
        <w:rPr>
          <w:rFonts w:cstheme="minorHAnsi"/>
          <w:sz w:val="22"/>
          <w:szCs w:val="22"/>
        </w:rPr>
        <w:t>Proračuna, gdje kolona Izvornog plana sadrži rashode</w:t>
      </w:r>
      <w:r w:rsidR="00DA487E">
        <w:rPr>
          <w:rFonts w:cstheme="minorHAnsi"/>
          <w:sz w:val="22"/>
          <w:szCs w:val="22"/>
        </w:rPr>
        <w:t xml:space="preserve"> </w:t>
      </w:r>
      <w:r w:rsidRPr="00B90569">
        <w:rPr>
          <w:rFonts w:cstheme="minorHAnsi"/>
          <w:sz w:val="22"/>
          <w:szCs w:val="22"/>
        </w:rPr>
        <w:t xml:space="preserve">planirane </w:t>
      </w:r>
      <w:r w:rsidR="00DA487E">
        <w:rPr>
          <w:rFonts w:cstheme="minorHAnsi"/>
          <w:sz w:val="22"/>
          <w:szCs w:val="22"/>
        </w:rPr>
        <w:t>Proračunom Općine Levanjska Varoš</w:t>
      </w:r>
      <w:r w:rsidRPr="00B90569">
        <w:rPr>
          <w:rFonts w:cstheme="minorHAnsi"/>
          <w:sz w:val="22"/>
          <w:szCs w:val="22"/>
        </w:rPr>
        <w:t xml:space="preserve"> za 202</w:t>
      </w:r>
      <w:r w:rsidR="00DA487E">
        <w:rPr>
          <w:rFonts w:cstheme="minorHAnsi"/>
          <w:sz w:val="22"/>
          <w:szCs w:val="22"/>
        </w:rPr>
        <w:t>3</w:t>
      </w:r>
      <w:r w:rsidRPr="00B90569">
        <w:rPr>
          <w:rFonts w:cstheme="minorHAnsi"/>
          <w:sz w:val="22"/>
          <w:szCs w:val="22"/>
        </w:rPr>
        <w:t>. godinu, a kolona</w:t>
      </w:r>
      <w:r w:rsidR="00DA487E">
        <w:rPr>
          <w:rFonts w:cstheme="minorHAnsi"/>
          <w:sz w:val="22"/>
          <w:szCs w:val="22"/>
        </w:rPr>
        <w:t xml:space="preserve"> </w:t>
      </w:r>
      <w:r w:rsidRPr="00B90569">
        <w:rPr>
          <w:rFonts w:cstheme="minorHAnsi"/>
          <w:sz w:val="22"/>
          <w:szCs w:val="22"/>
        </w:rPr>
        <w:t>Tekućeg plana sadrži rashode s uključenim preraspodjelama.</w:t>
      </w:r>
    </w:p>
    <w:p w14:paraId="7BD8680C" w14:textId="22A22344" w:rsidR="00023CB8" w:rsidRDefault="00DA487E" w:rsidP="00023C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DA487E">
        <w:rPr>
          <w:rFonts w:cstheme="minorHAnsi"/>
          <w:sz w:val="22"/>
          <w:szCs w:val="22"/>
        </w:rPr>
        <w:t>U nastavku ćemo usporediti polugodišnje ostvarenje Proračuna za 202</w:t>
      </w:r>
      <w:r>
        <w:rPr>
          <w:rFonts w:cstheme="minorHAnsi"/>
          <w:sz w:val="22"/>
          <w:szCs w:val="22"/>
        </w:rPr>
        <w:t>3</w:t>
      </w:r>
      <w:r w:rsidRPr="00DA487E">
        <w:rPr>
          <w:rFonts w:cstheme="minorHAnsi"/>
          <w:sz w:val="22"/>
          <w:szCs w:val="22"/>
        </w:rPr>
        <w:t xml:space="preserve">. godinu sa </w:t>
      </w:r>
      <w:r>
        <w:rPr>
          <w:rFonts w:cstheme="minorHAnsi"/>
          <w:sz w:val="22"/>
          <w:szCs w:val="22"/>
        </w:rPr>
        <w:t>tekućim</w:t>
      </w:r>
      <w:r w:rsidRPr="00DA487E">
        <w:rPr>
          <w:rFonts w:cstheme="minorHAnsi"/>
          <w:sz w:val="22"/>
          <w:szCs w:val="22"/>
        </w:rPr>
        <w:t xml:space="preserve"> Planom za 202</w:t>
      </w:r>
      <w:r>
        <w:rPr>
          <w:rFonts w:cstheme="minorHAnsi"/>
          <w:sz w:val="22"/>
          <w:szCs w:val="22"/>
        </w:rPr>
        <w:t>3</w:t>
      </w:r>
      <w:r w:rsidRPr="00DA487E">
        <w:rPr>
          <w:rFonts w:cstheme="minorHAnsi"/>
          <w:sz w:val="22"/>
          <w:szCs w:val="22"/>
        </w:rPr>
        <w:t>. godinu, te sa polugodišnjim izvršenjem proračuna za 202</w:t>
      </w:r>
      <w:r>
        <w:rPr>
          <w:rFonts w:cstheme="minorHAnsi"/>
          <w:sz w:val="22"/>
          <w:szCs w:val="22"/>
        </w:rPr>
        <w:t>2</w:t>
      </w:r>
      <w:r w:rsidRPr="00DA487E">
        <w:rPr>
          <w:rFonts w:cstheme="minorHAnsi"/>
          <w:sz w:val="22"/>
          <w:szCs w:val="22"/>
        </w:rPr>
        <w:t>. godinu.</w:t>
      </w:r>
    </w:p>
    <w:p w14:paraId="3F962CCD" w14:textId="77777777" w:rsidR="00FE152E" w:rsidRPr="00000576" w:rsidRDefault="00FE152E" w:rsidP="00000576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7F419640" w14:textId="7E7CE1A3" w:rsidR="00FE152E" w:rsidRPr="00000576" w:rsidRDefault="00FE152E" w:rsidP="00165728">
      <w:pPr>
        <w:pStyle w:val="Heading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4" w:name="_Toc144891682"/>
      <w:r w:rsidRPr="00000576">
        <w:rPr>
          <w:rFonts w:cstheme="minorHAnsi"/>
          <w:b/>
        </w:rPr>
        <w:t>OBRAZLOŽENJE OSTVARENJA PRIHODA I PRIMITAKA, RASHODA I IZDATAKA PRORAČUNA</w:t>
      </w:r>
      <w:bookmarkEnd w:id="4"/>
    </w:p>
    <w:p w14:paraId="228A29D7" w14:textId="51054896" w:rsidR="003348CE" w:rsidRDefault="004D5A0D" w:rsidP="003348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Ukupni prihodi i primici u </w:t>
      </w:r>
      <w:r w:rsidR="00AF72B3">
        <w:rPr>
          <w:rFonts w:cstheme="minorHAnsi"/>
          <w:sz w:val="22"/>
          <w:szCs w:val="22"/>
        </w:rPr>
        <w:t xml:space="preserve">prvom polugodištu </w:t>
      </w:r>
      <w:r w:rsidRPr="004D5A0D">
        <w:rPr>
          <w:rFonts w:cstheme="minorHAnsi"/>
          <w:sz w:val="22"/>
          <w:szCs w:val="22"/>
        </w:rPr>
        <w:t>202</w:t>
      </w:r>
      <w:r w:rsidR="00AF72B3">
        <w:rPr>
          <w:rFonts w:cstheme="minorHAnsi"/>
          <w:sz w:val="22"/>
          <w:szCs w:val="22"/>
        </w:rPr>
        <w:t>3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ostvareni su u iznosu od </w:t>
      </w:r>
      <w:r w:rsidR="00AF72B3" w:rsidRPr="00AF72B3">
        <w:rPr>
          <w:rFonts w:cstheme="minorHAnsi"/>
          <w:sz w:val="22"/>
          <w:szCs w:val="22"/>
        </w:rPr>
        <w:t>307.559,93</w:t>
      </w:r>
      <w:r w:rsidR="00AF72B3">
        <w:rPr>
          <w:rFonts w:cstheme="minorHAnsi"/>
          <w:sz w:val="22"/>
          <w:szCs w:val="22"/>
        </w:rPr>
        <w:t xml:space="preserve"> eura</w:t>
      </w:r>
      <w:r w:rsidRPr="004D5A0D">
        <w:rPr>
          <w:rFonts w:cstheme="minorHAnsi"/>
          <w:sz w:val="22"/>
          <w:szCs w:val="22"/>
        </w:rPr>
        <w:t xml:space="preserve">, što u usporedbi sa </w:t>
      </w:r>
      <w:r w:rsidR="00AF72B3">
        <w:rPr>
          <w:rFonts w:cstheme="minorHAnsi"/>
          <w:sz w:val="22"/>
          <w:szCs w:val="22"/>
        </w:rPr>
        <w:t>prvim polugodištem 2022. godine</w:t>
      </w:r>
      <w:r w:rsidRPr="004D5A0D">
        <w:rPr>
          <w:rFonts w:cstheme="minorHAnsi"/>
          <w:sz w:val="22"/>
          <w:szCs w:val="22"/>
        </w:rPr>
        <w:t xml:space="preserve"> u kojoj su ostvareni ukupni prihodi i primici u iznosu od </w:t>
      </w:r>
      <w:r w:rsidR="00AF72B3" w:rsidRPr="00AF72B3">
        <w:rPr>
          <w:rFonts w:cstheme="minorHAnsi"/>
          <w:sz w:val="22"/>
          <w:szCs w:val="22"/>
        </w:rPr>
        <w:t>361.603,50</w:t>
      </w:r>
      <w:r w:rsidRPr="004D5A0D">
        <w:rPr>
          <w:rFonts w:cstheme="minorHAnsi"/>
          <w:sz w:val="22"/>
          <w:szCs w:val="22"/>
        </w:rPr>
        <w:t xml:space="preserve"> </w:t>
      </w:r>
      <w:r w:rsidR="00AF72B3">
        <w:rPr>
          <w:rFonts w:cstheme="minorHAnsi"/>
          <w:sz w:val="22"/>
          <w:szCs w:val="22"/>
        </w:rPr>
        <w:t>eura</w:t>
      </w:r>
      <w:r w:rsidRPr="004D5A0D">
        <w:rPr>
          <w:rFonts w:cstheme="minorHAnsi"/>
          <w:sz w:val="22"/>
          <w:szCs w:val="22"/>
        </w:rPr>
        <w:t xml:space="preserve"> predstavlja </w:t>
      </w:r>
      <w:r>
        <w:rPr>
          <w:rFonts w:cstheme="minorHAnsi"/>
          <w:sz w:val="22"/>
          <w:szCs w:val="22"/>
        </w:rPr>
        <w:t>smanjenje</w:t>
      </w:r>
      <w:r w:rsidRPr="004D5A0D">
        <w:rPr>
          <w:rFonts w:cstheme="minorHAnsi"/>
          <w:sz w:val="22"/>
          <w:szCs w:val="22"/>
        </w:rPr>
        <w:t xml:space="preserve"> od </w:t>
      </w:r>
      <w:r w:rsidR="00AF72B3">
        <w:rPr>
          <w:rFonts w:cstheme="minorHAnsi"/>
          <w:sz w:val="22"/>
          <w:szCs w:val="22"/>
        </w:rPr>
        <w:t>14,95</w:t>
      </w:r>
      <w:r w:rsidR="003348CE">
        <w:rPr>
          <w:rFonts w:cstheme="minorHAnsi"/>
          <w:sz w:val="22"/>
          <w:szCs w:val="22"/>
        </w:rPr>
        <w:t>%.</w:t>
      </w:r>
    </w:p>
    <w:p w14:paraId="74F4152D" w14:textId="1023FB20" w:rsidR="008D30E5" w:rsidRPr="003348CE" w:rsidRDefault="004D5A0D" w:rsidP="003348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Ukupni rashodi i izdaci u </w:t>
      </w:r>
      <w:r w:rsidR="00AF72B3">
        <w:rPr>
          <w:rFonts w:cstheme="minorHAnsi"/>
          <w:sz w:val="22"/>
          <w:szCs w:val="22"/>
        </w:rPr>
        <w:t xml:space="preserve">prvom polugodištu </w:t>
      </w:r>
      <w:r w:rsidRPr="004D5A0D">
        <w:rPr>
          <w:rFonts w:cstheme="minorHAnsi"/>
          <w:sz w:val="22"/>
          <w:szCs w:val="22"/>
        </w:rPr>
        <w:t>202</w:t>
      </w:r>
      <w:r w:rsidR="00AF72B3">
        <w:rPr>
          <w:rFonts w:cstheme="minorHAnsi"/>
          <w:sz w:val="22"/>
          <w:szCs w:val="22"/>
        </w:rPr>
        <w:t>3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ostvareni su u iznosu od </w:t>
      </w:r>
      <w:r w:rsidR="00AF72B3" w:rsidRPr="00AF72B3">
        <w:rPr>
          <w:rFonts w:cstheme="minorHAnsi"/>
          <w:sz w:val="22"/>
          <w:szCs w:val="22"/>
        </w:rPr>
        <w:t>331.161,88</w:t>
      </w:r>
      <w:r w:rsidR="00AF72B3">
        <w:rPr>
          <w:rFonts w:cstheme="minorHAnsi"/>
          <w:sz w:val="22"/>
          <w:szCs w:val="22"/>
        </w:rPr>
        <w:t xml:space="preserve"> eura</w:t>
      </w:r>
      <w:r w:rsidRPr="004D5A0D">
        <w:rPr>
          <w:rFonts w:cstheme="minorHAnsi"/>
          <w:sz w:val="22"/>
          <w:szCs w:val="22"/>
        </w:rPr>
        <w:t xml:space="preserve">, što je u odnosu na </w:t>
      </w:r>
      <w:r w:rsidR="00AF72B3">
        <w:rPr>
          <w:rFonts w:cstheme="minorHAnsi"/>
          <w:sz w:val="22"/>
          <w:szCs w:val="22"/>
        </w:rPr>
        <w:t xml:space="preserve">isto razdoblje </w:t>
      </w:r>
      <w:r w:rsidRPr="004D5A0D">
        <w:rPr>
          <w:rFonts w:cstheme="minorHAnsi"/>
          <w:sz w:val="22"/>
          <w:szCs w:val="22"/>
        </w:rPr>
        <w:t>20</w:t>
      </w:r>
      <w:r w:rsidR="00C85A6A">
        <w:rPr>
          <w:rFonts w:cstheme="minorHAnsi"/>
          <w:sz w:val="22"/>
          <w:szCs w:val="22"/>
        </w:rPr>
        <w:t>2</w:t>
      </w:r>
      <w:r w:rsidR="00AF72B3">
        <w:rPr>
          <w:rFonts w:cstheme="minorHAnsi"/>
          <w:sz w:val="22"/>
          <w:szCs w:val="22"/>
        </w:rPr>
        <w:t>2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</w:t>
      </w:r>
      <w:r w:rsidR="00E97861">
        <w:rPr>
          <w:rFonts w:cstheme="minorHAnsi"/>
          <w:sz w:val="22"/>
          <w:szCs w:val="22"/>
        </w:rPr>
        <w:t>smanjenje</w:t>
      </w:r>
      <w:r w:rsidRPr="004D5A0D">
        <w:rPr>
          <w:rFonts w:cstheme="minorHAnsi"/>
          <w:sz w:val="22"/>
          <w:szCs w:val="22"/>
        </w:rPr>
        <w:t xml:space="preserve"> od </w:t>
      </w:r>
      <w:r w:rsidR="00AF72B3">
        <w:rPr>
          <w:rFonts w:cstheme="minorHAnsi"/>
          <w:sz w:val="22"/>
          <w:szCs w:val="22"/>
        </w:rPr>
        <w:t>5,65</w:t>
      </w:r>
      <w:r w:rsidR="003348CE">
        <w:rPr>
          <w:rFonts w:cstheme="minorHAnsi"/>
          <w:sz w:val="22"/>
          <w:szCs w:val="22"/>
        </w:rPr>
        <w:t>%.</w:t>
      </w:r>
    </w:p>
    <w:p w14:paraId="572D50F9" w14:textId="598D1D5A" w:rsidR="00FD54B5" w:rsidRDefault="00FD54B5" w:rsidP="00FD54B5">
      <w:pPr>
        <w:spacing w:before="120" w:after="120" w:line="240" w:lineRule="auto"/>
        <w:jc w:val="both"/>
        <w:rPr>
          <w:rFonts w:cstheme="minorHAnsi"/>
          <w:color w:val="FF0000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 odnosu na </w:t>
      </w:r>
      <w:r w:rsidR="00AF72B3">
        <w:rPr>
          <w:rFonts w:cstheme="minorHAnsi"/>
          <w:sz w:val="22"/>
          <w:szCs w:val="22"/>
        </w:rPr>
        <w:t>Tekući p</w:t>
      </w:r>
      <w:r w:rsidRPr="004D5A0D">
        <w:rPr>
          <w:rFonts w:cstheme="minorHAnsi"/>
          <w:sz w:val="22"/>
          <w:szCs w:val="22"/>
        </w:rPr>
        <w:t>lan za 202</w:t>
      </w:r>
      <w:r>
        <w:rPr>
          <w:rFonts w:cstheme="minorHAnsi"/>
          <w:sz w:val="22"/>
          <w:szCs w:val="22"/>
        </w:rPr>
        <w:t>2</w:t>
      </w:r>
      <w:r w:rsidRPr="004D5A0D">
        <w:rPr>
          <w:rFonts w:cstheme="minorHAnsi"/>
          <w:sz w:val="22"/>
          <w:szCs w:val="22"/>
        </w:rPr>
        <w:t xml:space="preserve">. godinu, ostvareno je </w:t>
      </w:r>
      <w:r w:rsidR="00AF72B3">
        <w:rPr>
          <w:rFonts w:cstheme="minorHAnsi"/>
          <w:sz w:val="22"/>
          <w:szCs w:val="22"/>
        </w:rPr>
        <w:t>17,16</w:t>
      </w:r>
      <w:r w:rsidRPr="004D5A0D">
        <w:rPr>
          <w:rFonts w:cstheme="minorHAnsi"/>
          <w:sz w:val="22"/>
          <w:szCs w:val="22"/>
        </w:rPr>
        <w:t>% planiranih prihoda i primitaka</w:t>
      </w:r>
      <w:r>
        <w:rPr>
          <w:rFonts w:cstheme="minorHAnsi"/>
          <w:sz w:val="22"/>
          <w:szCs w:val="22"/>
        </w:rPr>
        <w:t xml:space="preserve">, te </w:t>
      </w:r>
      <w:r w:rsidRPr="00576F09">
        <w:rPr>
          <w:rFonts w:cstheme="minorHAnsi"/>
          <w:sz w:val="22"/>
          <w:szCs w:val="22"/>
        </w:rPr>
        <w:t xml:space="preserve"> </w:t>
      </w:r>
      <w:r w:rsidR="00AF72B3">
        <w:rPr>
          <w:rFonts w:cstheme="minorHAnsi"/>
          <w:sz w:val="22"/>
          <w:szCs w:val="22"/>
        </w:rPr>
        <w:t>18,47</w:t>
      </w:r>
      <w:r w:rsidRPr="004D5A0D">
        <w:rPr>
          <w:rFonts w:cstheme="minorHAnsi"/>
          <w:sz w:val="22"/>
          <w:szCs w:val="22"/>
        </w:rPr>
        <w:t>% planiranih rashoda i izdataka.</w:t>
      </w:r>
      <w:r w:rsidRPr="00AF1F47">
        <w:rPr>
          <w:rFonts w:cstheme="minorHAnsi"/>
          <w:color w:val="FF0000"/>
          <w:sz w:val="22"/>
          <w:szCs w:val="22"/>
        </w:rPr>
        <w:t xml:space="preserve"> </w:t>
      </w:r>
      <w:r w:rsidR="00AF72B3" w:rsidRPr="00AF72B3">
        <w:rPr>
          <w:rFonts w:cstheme="minorHAnsi"/>
          <w:sz w:val="22"/>
          <w:szCs w:val="22"/>
        </w:rPr>
        <w:t>Postotak ostvarenja Proračuna je nizak, kao i svake godine, pošto se veći dio proračuna Općine Levanjska Varoš realizira u drugoj polovici godine.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1"/>
        <w:gridCol w:w="1331"/>
        <w:gridCol w:w="1333"/>
        <w:gridCol w:w="1333"/>
        <w:gridCol w:w="914"/>
        <w:gridCol w:w="914"/>
      </w:tblGrid>
      <w:tr w:rsidR="00D8175C" w:rsidRPr="00D8175C" w14:paraId="3B703CDF" w14:textId="77777777" w:rsidTr="00D8175C">
        <w:trPr>
          <w:trHeight w:val="227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3BF4262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 P I S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629A11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 2022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E981894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F3B20A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 2023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022663" w14:textId="0938E336" w:rsidR="00D8175C" w:rsidRPr="00D8175C" w:rsidRDefault="00D8175C" w:rsidP="00AF72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Indeks </w:t>
            </w:r>
            <w:r w:rsidR="00AF72B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/1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878E71" w14:textId="1B665164" w:rsidR="00D8175C" w:rsidRPr="00D8175C" w:rsidRDefault="00D8175C" w:rsidP="00AF72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Indeks </w:t>
            </w:r>
            <w:r w:rsidR="00AF72B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 w:rsidR="00AF72B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</w:tr>
      <w:tr w:rsidR="00D8175C" w:rsidRPr="00D8175C" w14:paraId="044B49C1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BDC1D36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26599788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4A819150" w14:textId="46C8A232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7B0968E" w14:textId="081ADC9B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C8CC662" w14:textId="24A62623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3FA3A705" w14:textId="697EF600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D8175C" w:rsidRPr="00D8175C" w14:paraId="5263BC55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29E8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9D59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28F2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FAA2D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04727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695F6" w14:textId="77777777" w:rsidR="00D8175C" w:rsidRPr="00D8175C" w:rsidRDefault="00D8175C" w:rsidP="00D817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2BB188F7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73CEB09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 UKUPNI PRIHODI I PRIMICI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711902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361.603,50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73C2FB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1.792.500,00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2AFED0E0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307.559,93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C9FFBF7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85,05%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7091FD5B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17,16%</w:t>
            </w:r>
          </w:p>
        </w:tc>
      </w:tr>
      <w:tr w:rsidR="00D8175C" w:rsidRPr="00D8175C" w14:paraId="63183B8F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03DC7" w14:textId="77777777" w:rsidR="00D8175C" w:rsidRPr="00D8175C" w:rsidRDefault="00D8175C" w:rsidP="00D8175C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UKUPNO PRIHODA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ED12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335.058,94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E125E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1.630.300,00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35A86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307.559,93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47DE5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91,79%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E7FC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18,87%</w:t>
            </w:r>
          </w:p>
        </w:tc>
      </w:tr>
      <w:tr w:rsidR="00D8175C" w:rsidRPr="00D8175C" w14:paraId="1F143987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1CBBB" w14:textId="77777777" w:rsidR="00D8175C" w:rsidRPr="00D8175C" w:rsidRDefault="00D8175C" w:rsidP="00D8175C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A0F2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326.162,25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632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1.571.800,00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1B5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303.698,12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0FE0C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93,11%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EEE9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19,32%</w:t>
            </w:r>
          </w:p>
        </w:tc>
      </w:tr>
      <w:tr w:rsidR="00D8175C" w:rsidRPr="00D8175C" w14:paraId="0948B7BC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B0A1" w14:textId="77777777" w:rsidR="00D8175C" w:rsidRPr="00D8175C" w:rsidRDefault="00D8175C" w:rsidP="00D8175C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005B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8.896,69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528AE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58.500,00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8AD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3.861,81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9BFC3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43,41%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E6B56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6,60%</w:t>
            </w:r>
          </w:p>
        </w:tc>
      </w:tr>
      <w:tr w:rsidR="00D8175C" w:rsidRPr="00D8175C" w14:paraId="62E14AEB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D5394" w14:textId="13F587BF" w:rsidR="00D8175C" w:rsidRPr="00D8175C" w:rsidRDefault="00D8175C" w:rsidP="00D8175C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PRIMICI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OD FINANCIJSKE</w:t>
            </w: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IMOVINE I ZADUŽIVANJA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C3C05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26.544,56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E9E00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162.200,00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050ED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D4F5E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A96A0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D8175C" w:rsidRPr="00D8175C" w14:paraId="67570490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0E8E" w14:textId="77777777" w:rsidR="00D8175C" w:rsidRPr="00D8175C" w:rsidRDefault="00D8175C" w:rsidP="00D8175C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F6116" w14:textId="77777777" w:rsidR="00D8175C" w:rsidRPr="00D8175C" w:rsidRDefault="00D8175C" w:rsidP="00D8175C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6588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2135C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D7B21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95824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05A17CB6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056FDF4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B. UKUPNI RASHODI I IZDACI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459417E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350.989,29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05AA1D6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1.792.500,00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FFF841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331.161,88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87ADE7C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94,35%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4CB6387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18,47%</w:t>
            </w:r>
          </w:p>
        </w:tc>
      </w:tr>
      <w:tr w:rsidR="00D8175C" w:rsidRPr="00D8175C" w14:paraId="6342B555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A042C" w14:textId="77777777" w:rsidR="00D8175C" w:rsidRPr="00D8175C" w:rsidRDefault="00D8175C" w:rsidP="00D8175C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RASHODA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ECC5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345.234,73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C23B7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1.654.400,00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30BC8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326.200,64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7CB80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94,49%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6D128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19,72%</w:t>
            </w:r>
          </w:p>
        </w:tc>
      </w:tr>
      <w:tr w:rsidR="00D8175C" w:rsidRPr="00D8175C" w14:paraId="0031A32D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7ADD" w14:textId="77777777" w:rsidR="00D8175C" w:rsidRPr="00D8175C" w:rsidRDefault="00D8175C" w:rsidP="00D8175C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D22DC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313.288,54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A171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569.650,00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A43B8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272.246,67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B140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86,90%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0C20F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47,79%</w:t>
            </w:r>
          </w:p>
        </w:tc>
      </w:tr>
      <w:tr w:rsidR="00D8175C" w:rsidRPr="00D8175C" w14:paraId="3A5317E2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DB424" w14:textId="77777777" w:rsidR="00D8175C" w:rsidRPr="00D8175C" w:rsidRDefault="00D8175C" w:rsidP="00D8175C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84CC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31.946,19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397F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1.084.750,00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9A7F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53.953,97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E06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168,89%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11A1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4,97%</w:t>
            </w:r>
          </w:p>
        </w:tc>
      </w:tr>
      <w:tr w:rsidR="00D8175C" w:rsidRPr="00D8175C" w14:paraId="044F0DE0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81B09" w14:textId="4820E0F5" w:rsidR="00D8175C" w:rsidRPr="00D8175C" w:rsidRDefault="00D8175C" w:rsidP="00D8175C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</w:t>
            </w: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IMOVINU I OTPLATE ZAJMOVA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1EB42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5.754,56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6B835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138.100,00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5984E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4.961,24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0B40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86,21%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6C276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3,59%</w:t>
            </w:r>
          </w:p>
        </w:tc>
      </w:tr>
      <w:tr w:rsidR="00D8175C" w:rsidRPr="00D8175C" w14:paraId="46495A06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F827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3EFB2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9B172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953A1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A3303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3C6AB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5A356E7A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70F7219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VIŠAK/MANJAK (A-B)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698DB5B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10.614,21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43F9AE0D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C96FEE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-23.601,95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27BD4653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-222,36%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233F9B4C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8175C" w:rsidRPr="00D8175C" w14:paraId="0B5961D3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C1D2E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45E6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DB9FD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E4F8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D190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4687E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021BB129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F0A8A08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C. RASPOLOŽIVA SREDSTAVA IZ PRETHODNIH GODINA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25E3F7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-24.466,47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5274133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DFD0E54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7.805,75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301B8D53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-31,90%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2C0976B4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642D9BFD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163B" w14:textId="77777777" w:rsidR="00D8175C" w:rsidRPr="00D8175C" w:rsidRDefault="00D8175C" w:rsidP="00D8175C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Ukupan donos viška/manjka iz prethodnih godina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D94F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-24.466,47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33DA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1800A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7.805,75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A054D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-31,90%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A5CF9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0E2291E2" w14:textId="77777777" w:rsidTr="00D8175C">
        <w:trPr>
          <w:trHeight w:val="227"/>
        </w:trPr>
        <w:tc>
          <w:tcPr>
            <w:tcW w:w="2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62974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11A3E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486CA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D1B9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4D9F" w14:textId="77777777" w:rsidR="00D8175C" w:rsidRPr="00D8175C" w:rsidRDefault="00D8175C" w:rsidP="00D817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B9512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175C" w:rsidRPr="00D8175C" w14:paraId="2CAF36A0" w14:textId="77777777" w:rsidTr="00D8175C">
        <w:trPr>
          <w:trHeight w:val="227"/>
        </w:trPr>
        <w:tc>
          <w:tcPr>
            <w:tcW w:w="2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5F43435F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D. VIŠAK/MANJAK TEKUĆE GODINE + RASPOLOŽIVA SREDSTVA IZ PRETHODNIH GODINA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327C7D2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-13.852,26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1271217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191DC925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-15.796,20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26BA4E09" w14:textId="77777777" w:rsidR="00D8175C" w:rsidRPr="00D8175C" w:rsidRDefault="00D8175C" w:rsidP="00D8175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114,03%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54506E95" w14:textId="77777777" w:rsidR="00D8175C" w:rsidRPr="00D8175C" w:rsidRDefault="00D8175C" w:rsidP="00D817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1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3D2F50E5" w14:textId="6C37F6C7" w:rsidR="00226A56" w:rsidRDefault="00226A56" w:rsidP="008D30E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226A56">
        <w:rPr>
          <w:rFonts w:cstheme="minorHAnsi"/>
          <w:sz w:val="22"/>
          <w:szCs w:val="22"/>
        </w:rPr>
        <w:t xml:space="preserve">Iz navedenog proizlazi da je u </w:t>
      </w:r>
      <w:r w:rsidR="00AF72B3">
        <w:rPr>
          <w:rFonts w:cstheme="minorHAnsi"/>
          <w:sz w:val="22"/>
          <w:szCs w:val="22"/>
        </w:rPr>
        <w:t xml:space="preserve">prvoj polovici </w:t>
      </w:r>
      <w:r w:rsidRPr="00226A56">
        <w:rPr>
          <w:rFonts w:cstheme="minorHAnsi"/>
          <w:sz w:val="22"/>
          <w:szCs w:val="22"/>
        </w:rPr>
        <w:t>202</w:t>
      </w:r>
      <w:r w:rsidR="00AF72B3">
        <w:rPr>
          <w:rFonts w:cstheme="minorHAnsi"/>
          <w:sz w:val="22"/>
          <w:szCs w:val="22"/>
        </w:rPr>
        <w:t>3</w:t>
      </w:r>
      <w:r w:rsidRPr="00226A56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226A56">
        <w:rPr>
          <w:rFonts w:cstheme="minorHAnsi"/>
          <w:sz w:val="22"/>
          <w:szCs w:val="22"/>
        </w:rPr>
        <w:t xml:space="preserve"> ostvaren </w:t>
      </w:r>
      <w:r w:rsidR="00AF72B3">
        <w:rPr>
          <w:rFonts w:cstheme="minorHAnsi"/>
          <w:sz w:val="22"/>
          <w:szCs w:val="22"/>
        </w:rPr>
        <w:t>manjak</w:t>
      </w:r>
      <w:r w:rsidRPr="00226A56">
        <w:rPr>
          <w:rFonts w:cstheme="minorHAnsi"/>
          <w:sz w:val="22"/>
          <w:szCs w:val="22"/>
        </w:rPr>
        <w:t xml:space="preserve"> prihoda</w:t>
      </w:r>
      <w:r w:rsidR="00AF72B3">
        <w:rPr>
          <w:rFonts w:cstheme="minorHAnsi"/>
          <w:sz w:val="22"/>
          <w:szCs w:val="22"/>
        </w:rPr>
        <w:t xml:space="preserve"> i primitaka</w:t>
      </w:r>
      <w:r w:rsidRPr="00226A56">
        <w:rPr>
          <w:rFonts w:cstheme="minorHAnsi"/>
          <w:sz w:val="22"/>
          <w:szCs w:val="22"/>
        </w:rPr>
        <w:t xml:space="preserve"> u iznosu </w:t>
      </w:r>
      <w:r w:rsidR="00AF72B3" w:rsidRPr="00AF72B3">
        <w:rPr>
          <w:rFonts w:cstheme="minorHAnsi"/>
          <w:sz w:val="22"/>
          <w:szCs w:val="22"/>
        </w:rPr>
        <w:t>23.601,95</w:t>
      </w:r>
      <w:r w:rsidR="00AF72B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 xml:space="preserve">, </w:t>
      </w:r>
      <w:r w:rsidR="00C16F83">
        <w:rPr>
          <w:rFonts w:cstheme="minorHAnsi"/>
          <w:sz w:val="22"/>
          <w:szCs w:val="22"/>
        </w:rPr>
        <w:t xml:space="preserve">a s obzirom da je prethodne godine ostvaren višak u iznosu </w:t>
      </w:r>
      <w:r w:rsidRPr="00226A56">
        <w:rPr>
          <w:rFonts w:cstheme="minorHAnsi"/>
          <w:sz w:val="22"/>
          <w:szCs w:val="22"/>
        </w:rPr>
        <w:t xml:space="preserve">od </w:t>
      </w:r>
      <w:r w:rsidR="00C16F83" w:rsidRPr="00C16F83">
        <w:rPr>
          <w:rFonts w:cstheme="minorHAnsi"/>
          <w:sz w:val="22"/>
          <w:szCs w:val="22"/>
        </w:rPr>
        <w:t>7.805,75</w:t>
      </w:r>
      <w:r w:rsidR="00C16F8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 xml:space="preserve">, preostali </w:t>
      </w:r>
      <w:r w:rsidR="00C16F83">
        <w:rPr>
          <w:rFonts w:cstheme="minorHAnsi"/>
          <w:sz w:val="22"/>
          <w:szCs w:val="22"/>
        </w:rPr>
        <w:t xml:space="preserve">manjak iznosi </w:t>
      </w:r>
      <w:r w:rsidR="00C16F83" w:rsidRPr="00C16F83">
        <w:rPr>
          <w:rFonts w:cstheme="minorHAnsi"/>
          <w:sz w:val="22"/>
          <w:szCs w:val="22"/>
        </w:rPr>
        <w:t>15.796,20</w:t>
      </w:r>
      <w:r w:rsidR="00C16F8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>.</w:t>
      </w:r>
    </w:p>
    <w:p w14:paraId="41AE7C91" w14:textId="7F2247C8" w:rsidR="00A64127" w:rsidRDefault="00A64127" w:rsidP="002531E7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A64127">
        <w:rPr>
          <w:rFonts w:cstheme="minorHAnsi"/>
          <w:sz w:val="22"/>
          <w:szCs w:val="22"/>
        </w:rPr>
        <w:t xml:space="preserve">Na ostvarenje </w:t>
      </w:r>
      <w:r w:rsidR="00ED4161">
        <w:rPr>
          <w:rFonts w:cstheme="minorHAnsi"/>
          <w:sz w:val="22"/>
          <w:szCs w:val="22"/>
        </w:rPr>
        <w:t>manjka</w:t>
      </w:r>
      <w:r w:rsidRPr="00A64127">
        <w:rPr>
          <w:rFonts w:cstheme="minorHAnsi"/>
          <w:sz w:val="22"/>
          <w:szCs w:val="22"/>
        </w:rPr>
        <w:t xml:space="preserve"> u </w:t>
      </w:r>
      <w:r w:rsidR="00ED4161">
        <w:rPr>
          <w:rFonts w:cstheme="minorHAnsi"/>
          <w:sz w:val="22"/>
          <w:szCs w:val="22"/>
        </w:rPr>
        <w:t xml:space="preserve">prvoj polovici </w:t>
      </w:r>
      <w:r w:rsidRPr="00A64127">
        <w:rPr>
          <w:rFonts w:cstheme="minorHAnsi"/>
          <w:sz w:val="22"/>
          <w:szCs w:val="22"/>
        </w:rPr>
        <w:t>202</w:t>
      </w:r>
      <w:r w:rsidR="00ED4161">
        <w:rPr>
          <w:rFonts w:cstheme="minorHAnsi"/>
          <w:sz w:val="22"/>
          <w:szCs w:val="22"/>
        </w:rPr>
        <w:t>3</w:t>
      </w:r>
      <w:r w:rsidRPr="00A64127">
        <w:rPr>
          <w:rFonts w:cstheme="minorHAnsi"/>
          <w:sz w:val="22"/>
          <w:szCs w:val="22"/>
        </w:rPr>
        <w:t>. godin</w:t>
      </w:r>
      <w:r w:rsidR="00ED4161">
        <w:rPr>
          <w:rFonts w:cstheme="minorHAnsi"/>
          <w:sz w:val="22"/>
          <w:szCs w:val="22"/>
        </w:rPr>
        <w:t>e</w:t>
      </w:r>
      <w:r w:rsidRPr="00A64127">
        <w:rPr>
          <w:rFonts w:cstheme="minorHAnsi"/>
          <w:sz w:val="22"/>
          <w:szCs w:val="22"/>
        </w:rPr>
        <w:t xml:space="preserve"> </w:t>
      </w:r>
      <w:r w:rsidR="00AB3432">
        <w:rPr>
          <w:rFonts w:cstheme="minorHAnsi"/>
          <w:sz w:val="22"/>
          <w:szCs w:val="22"/>
        </w:rPr>
        <w:t xml:space="preserve">najviše </w:t>
      </w:r>
      <w:r w:rsidR="002531E7">
        <w:rPr>
          <w:rFonts w:cstheme="minorHAnsi"/>
          <w:sz w:val="22"/>
          <w:szCs w:val="22"/>
        </w:rPr>
        <w:t>je</w:t>
      </w:r>
      <w:r w:rsidR="00AB3432">
        <w:rPr>
          <w:rFonts w:cstheme="minorHAnsi"/>
          <w:sz w:val="22"/>
          <w:szCs w:val="22"/>
        </w:rPr>
        <w:t xml:space="preserve"> </w:t>
      </w:r>
      <w:r w:rsidRPr="00A64127">
        <w:rPr>
          <w:rFonts w:cstheme="minorHAnsi"/>
          <w:sz w:val="22"/>
          <w:szCs w:val="22"/>
        </w:rPr>
        <w:t>utjecal</w:t>
      </w:r>
      <w:r w:rsidR="002531E7">
        <w:rPr>
          <w:rFonts w:cstheme="minorHAnsi"/>
          <w:sz w:val="22"/>
          <w:szCs w:val="22"/>
        </w:rPr>
        <w:t>o</w:t>
      </w:r>
      <w:r w:rsidR="00AB3432">
        <w:rPr>
          <w:rFonts w:cstheme="minorHAnsi"/>
          <w:sz w:val="22"/>
          <w:szCs w:val="22"/>
        </w:rPr>
        <w:t xml:space="preserve"> </w:t>
      </w:r>
      <w:r w:rsidR="002531E7">
        <w:rPr>
          <w:rFonts w:cstheme="minorHAnsi"/>
          <w:sz w:val="22"/>
          <w:szCs w:val="22"/>
        </w:rPr>
        <w:t xml:space="preserve">smanjenje prihoda od fiskalnog izravnanja u odnosu na prethodnu godinu, te slabija naplata prihoda od zakupa poljoprivrednog zemljišta. </w:t>
      </w:r>
      <w:r w:rsidR="002531E7" w:rsidRPr="002531E7">
        <w:rPr>
          <w:rFonts w:cstheme="minorHAnsi"/>
          <w:sz w:val="22"/>
          <w:szCs w:val="22"/>
        </w:rPr>
        <w:t xml:space="preserve">Očekuje se da će navedeni manjak biti podmiren </w:t>
      </w:r>
      <w:r w:rsidR="002531E7">
        <w:rPr>
          <w:rFonts w:cstheme="minorHAnsi"/>
          <w:sz w:val="22"/>
          <w:szCs w:val="22"/>
        </w:rPr>
        <w:t>do kraja 2</w:t>
      </w:r>
      <w:r w:rsidR="002531E7" w:rsidRPr="002531E7">
        <w:rPr>
          <w:rFonts w:cstheme="minorHAnsi"/>
          <w:sz w:val="22"/>
          <w:szCs w:val="22"/>
        </w:rPr>
        <w:t>023. godin</w:t>
      </w:r>
      <w:r w:rsidR="002531E7">
        <w:rPr>
          <w:rFonts w:cstheme="minorHAnsi"/>
          <w:sz w:val="22"/>
          <w:szCs w:val="22"/>
        </w:rPr>
        <w:t>e</w:t>
      </w:r>
      <w:r w:rsidRPr="00A64127">
        <w:rPr>
          <w:rFonts w:cstheme="minorHAnsi"/>
          <w:sz w:val="22"/>
          <w:szCs w:val="22"/>
        </w:rPr>
        <w:t>.</w:t>
      </w:r>
    </w:p>
    <w:p w14:paraId="038BCCD0" w14:textId="77777777" w:rsidR="00845957" w:rsidRPr="00000576" w:rsidRDefault="0084595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A7A801B" w14:textId="14EA6B46" w:rsidR="003E3931" w:rsidRPr="00F00684" w:rsidRDefault="003E3931" w:rsidP="00165728">
      <w:pPr>
        <w:pStyle w:val="Heading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5" w:name="_Toc144891683"/>
      <w:r w:rsidRPr="00F00684">
        <w:rPr>
          <w:b/>
          <w:sz w:val="22"/>
        </w:rPr>
        <w:t>PRIHODI</w:t>
      </w:r>
      <w:r w:rsidR="002A5EEE" w:rsidRPr="00F00684">
        <w:rPr>
          <w:b/>
          <w:sz w:val="22"/>
        </w:rPr>
        <w:t xml:space="preserve"> I PRIMICI</w:t>
      </w:r>
      <w:bookmarkEnd w:id="5"/>
    </w:p>
    <w:p w14:paraId="305491A4" w14:textId="36D5A38B" w:rsidR="00487652" w:rsidRDefault="004876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Ukupni p</w:t>
      </w:r>
      <w:r w:rsidRPr="00487652">
        <w:rPr>
          <w:rFonts w:cstheme="minorHAnsi"/>
          <w:sz w:val="22"/>
          <w:szCs w:val="22"/>
        </w:rPr>
        <w:t xml:space="preserve">rihodi i primici Proračuna obuhvaćaju prihode poslovanja u iznosu od </w:t>
      </w:r>
      <w:r w:rsidR="0062302F" w:rsidRPr="0062302F">
        <w:rPr>
          <w:rFonts w:cstheme="minorHAnsi"/>
          <w:sz w:val="22"/>
          <w:szCs w:val="22"/>
        </w:rPr>
        <w:t>303.698,12</w:t>
      </w:r>
      <w:r w:rsidRPr="00487652">
        <w:rPr>
          <w:rFonts w:cstheme="minorHAnsi"/>
          <w:sz w:val="22"/>
          <w:szCs w:val="22"/>
        </w:rPr>
        <w:t xml:space="preserve"> </w:t>
      </w:r>
      <w:r w:rsidR="0062302F">
        <w:rPr>
          <w:rFonts w:cstheme="minorHAnsi"/>
          <w:sz w:val="22"/>
          <w:szCs w:val="22"/>
        </w:rPr>
        <w:t>eura</w:t>
      </w:r>
      <w:r w:rsidRPr="00487652">
        <w:rPr>
          <w:rFonts w:cstheme="minorHAnsi"/>
          <w:sz w:val="22"/>
          <w:szCs w:val="22"/>
        </w:rPr>
        <w:t xml:space="preserve">, prihode od prodaje nefinancijske imovine u iznosu od </w:t>
      </w:r>
      <w:r w:rsidR="0062302F" w:rsidRPr="0062302F">
        <w:rPr>
          <w:rFonts w:cstheme="minorHAnsi"/>
          <w:sz w:val="22"/>
          <w:szCs w:val="22"/>
        </w:rPr>
        <w:t>3.861,81</w:t>
      </w:r>
      <w:r w:rsidR="0062302F">
        <w:rPr>
          <w:rFonts w:cstheme="minorHAnsi"/>
          <w:sz w:val="22"/>
          <w:szCs w:val="22"/>
        </w:rPr>
        <w:t xml:space="preserve"> eura</w:t>
      </w:r>
      <w:r w:rsidRPr="00487652">
        <w:rPr>
          <w:rFonts w:cstheme="minorHAnsi"/>
          <w:sz w:val="22"/>
          <w:szCs w:val="22"/>
        </w:rPr>
        <w:t xml:space="preserve">, te primitke od financijske imovine i zaduživanja </w:t>
      </w:r>
      <w:r w:rsidR="0062302F">
        <w:rPr>
          <w:rFonts w:cstheme="minorHAnsi"/>
          <w:sz w:val="22"/>
          <w:szCs w:val="22"/>
        </w:rPr>
        <w:t>koji nisu ostvareni u izvještajnom razdoblju</w:t>
      </w:r>
      <w:r w:rsidRPr="00487652">
        <w:rPr>
          <w:rFonts w:cstheme="minorHAnsi"/>
          <w:sz w:val="22"/>
          <w:szCs w:val="22"/>
        </w:rPr>
        <w:t>.</w:t>
      </w:r>
    </w:p>
    <w:p w14:paraId="335B5D01" w14:textId="7EB1DE0B" w:rsidR="006A7047" w:rsidRDefault="006A7047" w:rsidP="006A7047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A7047">
        <w:rPr>
          <w:rFonts w:cstheme="minorHAnsi"/>
          <w:sz w:val="22"/>
          <w:szCs w:val="22"/>
        </w:rPr>
        <w:t>U strukturi ostvarenih prihoda i</w:t>
      </w:r>
      <w:r>
        <w:rPr>
          <w:rFonts w:cstheme="minorHAnsi"/>
          <w:sz w:val="22"/>
          <w:szCs w:val="22"/>
        </w:rPr>
        <w:t xml:space="preserve"> </w:t>
      </w:r>
      <w:r w:rsidRPr="006A7047">
        <w:rPr>
          <w:rFonts w:cstheme="minorHAnsi"/>
          <w:sz w:val="22"/>
          <w:szCs w:val="22"/>
        </w:rPr>
        <w:t xml:space="preserve">primitaka najveći udjel od </w:t>
      </w:r>
      <w:r w:rsidR="00DB2E03" w:rsidRPr="00DB2E03">
        <w:rPr>
          <w:rFonts w:cstheme="minorHAnsi"/>
          <w:sz w:val="22"/>
          <w:szCs w:val="22"/>
        </w:rPr>
        <w:t>58,2</w:t>
      </w:r>
      <w:r w:rsidR="00DB2E03">
        <w:rPr>
          <w:rFonts w:cstheme="minorHAnsi"/>
          <w:sz w:val="22"/>
          <w:szCs w:val="22"/>
        </w:rPr>
        <w:t>9</w:t>
      </w:r>
      <w:r w:rsidRPr="006A7047">
        <w:rPr>
          <w:rFonts w:cstheme="minorHAnsi"/>
          <w:sz w:val="22"/>
          <w:szCs w:val="22"/>
        </w:rPr>
        <w:t xml:space="preserve">% imaju </w:t>
      </w:r>
      <w:r w:rsidR="00DB2E03">
        <w:rPr>
          <w:rFonts w:cstheme="minorHAnsi"/>
          <w:sz w:val="22"/>
          <w:szCs w:val="22"/>
        </w:rPr>
        <w:t>p</w:t>
      </w:r>
      <w:r w:rsidR="00DB2E03" w:rsidRPr="00DB2E03">
        <w:rPr>
          <w:rFonts w:cstheme="minorHAnsi"/>
          <w:sz w:val="22"/>
          <w:szCs w:val="22"/>
        </w:rPr>
        <w:t>omoći iz inozemstva i od subjekata unutar općeg proračuna</w:t>
      </w:r>
      <w:r w:rsidRPr="006A7047">
        <w:rPr>
          <w:rFonts w:cstheme="minorHAns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583"/>
        <w:gridCol w:w="3965"/>
        <w:gridCol w:w="1274"/>
        <w:gridCol w:w="1274"/>
        <w:gridCol w:w="1274"/>
        <w:gridCol w:w="847"/>
        <w:gridCol w:w="962"/>
      </w:tblGrid>
      <w:tr w:rsidR="0062302F" w:rsidRPr="0062302F" w14:paraId="78AF0C1A" w14:textId="77777777" w:rsidTr="0062302F">
        <w:trPr>
          <w:trHeight w:val="227"/>
        </w:trPr>
        <w:tc>
          <w:tcPr>
            <w:tcW w:w="412" w:type="pct"/>
            <w:gridSpan w:val="2"/>
            <w:tcBorders>
              <w:bottom w:val="nil"/>
            </w:tcBorders>
            <w:shd w:val="clear" w:color="000000" w:fill="C0C0C0"/>
            <w:vAlign w:val="center"/>
            <w:hideMark/>
          </w:tcPr>
          <w:p w14:paraId="65BC44D0" w14:textId="2971621D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896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FA02000" w14:textId="261744EF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09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CF852F4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2D9321E6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09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088446F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05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6B5FB91" w14:textId="3A63084C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>5/3</w:t>
            </w:r>
          </w:p>
        </w:tc>
        <w:tc>
          <w:tcPr>
            <w:tcW w:w="460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E80A7B9" w14:textId="0442102C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>5/4</w:t>
            </w:r>
          </w:p>
        </w:tc>
      </w:tr>
      <w:tr w:rsidR="0062302F" w:rsidRPr="0062302F" w14:paraId="5573E51B" w14:textId="77777777" w:rsidTr="0062302F">
        <w:trPr>
          <w:trHeight w:val="227"/>
        </w:trPr>
        <w:tc>
          <w:tcPr>
            <w:tcW w:w="412" w:type="pct"/>
            <w:gridSpan w:val="2"/>
            <w:tcBorders>
              <w:top w:val="nil"/>
            </w:tcBorders>
            <w:shd w:val="clear" w:color="000000" w:fill="C0C0C0"/>
            <w:vAlign w:val="center"/>
            <w:hideMark/>
          </w:tcPr>
          <w:p w14:paraId="1E8FAE13" w14:textId="0C95C441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896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64DC7034" w14:textId="02A8BE0D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9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77C972B3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064227E1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09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3300971D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5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38B20C1A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0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21870FBF" w14:textId="77777777" w:rsidR="0062302F" w:rsidRPr="0062302F" w:rsidRDefault="0062302F" w:rsidP="0062302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62302F" w:rsidRPr="0062302F" w14:paraId="1D94D57B" w14:textId="77777777" w:rsidTr="0062302F">
        <w:trPr>
          <w:trHeight w:val="227"/>
        </w:trPr>
        <w:tc>
          <w:tcPr>
            <w:tcW w:w="133" w:type="pct"/>
            <w:shd w:val="clear" w:color="000000" w:fill="FFFFFF"/>
            <w:hideMark/>
          </w:tcPr>
          <w:p w14:paraId="5A292B07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174" w:type="pct"/>
            <w:gridSpan w:val="2"/>
            <w:shd w:val="clear" w:color="000000" w:fill="FFFFFF"/>
          </w:tcPr>
          <w:p w14:paraId="78648CCC" w14:textId="3A5FCC5B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609" w:type="pct"/>
            <w:shd w:val="clear" w:color="000000" w:fill="FFFFFF"/>
            <w:hideMark/>
          </w:tcPr>
          <w:p w14:paraId="447A6578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326.162,25</w:t>
            </w:r>
          </w:p>
        </w:tc>
        <w:tc>
          <w:tcPr>
            <w:tcW w:w="609" w:type="pct"/>
            <w:shd w:val="clear" w:color="000000" w:fill="FFFFFF"/>
            <w:hideMark/>
          </w:tcPr>
          <w:p w14:paraId="26939412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1.571.800,00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06A44A76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303.698,12</w:t>
            </w:r>
          </w:p>
        </w:tc>
        <w:tc>
          <w:tcPr>
            <w:tcW w:w="405" w:type="pct"/>
            <w:shd w:val="clear" w:color="000000" w:fill="FFFFFF"/>
            <w:hideMark/>
          </w:tcPr>
          <w:p w14:paraId="67C9552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93,11%</w:t>
            </w:r>
          </w:p>
        </w:tc>
        <w:tc>
          <w:tcPr>
            <w:tcW w:w="460" w:type="pct"/>
            <w:shd w:val="clear" w:color="000000" w:fill="FFFFFF"/>
            <w:hideMark/>
          </w:tcPr>
          <w:p w14:paraId="31D398AC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19,32%</w:t>
            </w:r>
          </w:p>
        </w:tc>
      </w:tr>
      <w:tr w:rsidR="0062302F" w:rsidRPr="0062302F" w14:paraId="0BA3FF37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71CE7EBC" w14:textId="01403F31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2DEE6DFF" w14:textId="1B8C92E5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896" w:type="pct"/>
            <w:shd w:val="clear" w:color="000000" w:fill="FFFFFF"/>
            <w:hideMark/>
          </w:tcPr>
          <w:p w14:paraId="19E0F533" w14:textId="5572BDF6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609" w:type="pct"/>
            <w:shd w:val="clear" w:color="000000" w:fill="FFFFFF"/>
            <w:hideMark/>
          </w:tcPr>
          <w:p w14:paraId="662B6597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27.823,34</w:t>
            </w:r>
          </w:p>
        </w:tc>
        <w:tc>
          <w:tcPr>
            <w:tcW w:w="609" w:type="pct"/>
            <w:shd w:val="clear" w:color="000000" w:fill="FFFFFF"/>
            <w:hideMark/>
          </w:tcPr>
          <w:p w14:paraId="29E5374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84.500,00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5987A94A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44.597,54</w:t>
            </w:r>
          </w:p>
        </w:tc>
        <w:tc>
          <w:tcPr>
            <w:tcW w:w="405" w:type="pct"/>
            <w:shd w:val="clear" w:color="000000" w:fill="FFFFFF"/>
            <w:hideMark/>
          </w:tcPr>
          <w:p w14:paraId="447662A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160,29%</w:t>
            </w:r>
          </w:p>
        </w:tc>
        <w:tc>
          <w:tcPr>
            <w:tcW w:w="460" w:type="pct"/>
            <w:shd w:val="clear" w:color="000000" w:fill="FFFFFF"/>
            <w:hideMark/>
          </w:tcPr>
          <w:p w14:paraId="0CB4B582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52,78%</w:t>
            </w:r>
          </w:p>
        </w:tc>
      </w:tr>
      <w:tr w:rsidR="0062302F" w:rsidRPr="0062302F" w14:paraId="671634DA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2D82A34B" w14:textId="18C4DCE5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762C535E" w14:textId="7AEC21C5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1896" w:type="pct"/>
            <w:shd w:val="clear" w:color="000000" w:fill="FFFFFF"/>
            <w:hideMark/>
          </w:tcPr>
          <w:p w14:paraId="07BF4493" w14:textId="2EFE8B22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609" w:type="pct"/>
            <w:shd w:val="clear" w:color="000000" w:fill="FFFFFF"/>
            <w:hideMark/>
          </w:tcPr>
          <w:p w14:paraId="4FB66416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189.632,35</w:t>
            </w:r>
          </w:p>
        </w:tc>
        <w:tc>
          <w:tcPr>
            <w:tcW w:w="609" w:type="pct"/>
            <w:shd w:val="clear" w:color="000000" w:fill="FFFFFF"/>
            <w:hideMark/>
          </w:tcPr>
          <w:p w14:paraId="232A9209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1.282.300,00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33312848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179.266,17</w:t>
            </w:r>
          </w:p>
        </w:tc>
        <w:tc>
          <w:tcPr>
            <w:tcW w:w="405" w:type="pct"/>
            <w:shd w:val="clear" w:color="000000" w:fill="FFFFFF"/>
            <w:hideMark/>
          </w:tcPr>
          <w:p w14:paraId="7FE310CB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94,53%</w:t>
            </w:r>
          </w:p>
        </w:tc>
        <w:tc>
          <w:tcPr>
            <w:tcW w:w="460" w:type="pct"/>
            <w:shd w:val="clear" w:color="000000" w:fill="FFFFFF"/>
            <w:hideMark/>
          </w:tcPr>
          <w:p w14:paraId="45083641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13,98%</w:t>
            </w:r>
          </w:p>
        </w:tc>
      </w:tr>
      <w:tr w:rsidR="0062302F" w:rsidRPr="0062302F" w14:paraId="5E8913FE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59F675D9" w14:textId="535B0978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6560F8DC" w14:textId="4FD886D0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896" w:type="pct"/>
            <w:shd w:val="clear" w:color="000000" w:fill="FFFFFF"/>
            <w:hideMark/>
          </w:tcPr>
          <w:p w14:paraId="5F13D9D3" w14:textId="1D8729F2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609" w:type="pct"/>
            <w:shd w:val="clear" w:color="000000" w:fill="FFFFFF"/>
            <w:hideMark/>
          </w:tcPr>
          <w:p w14:paraId="1798653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18.817,82</w:t>
            </w:r>
          </w:p>
        </w:tc>
        <w:tc>
          <w:tcPr>
            <w:tcW w:w="609" w:type="pct"/>
            <w:shd w:val="clear" w:color="000000" w:fill="FFFFFF"/>
            <w:hideMark/>
          </w:tcPr>
          <w:p w14:paraId="4C70E373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72.900,00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21D28A25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9.015,94</w:t>
            </w:r>
          </w:p>
        </w:tc>
        <w:tc>
          <w:tcPr>
            <w:tcW w:w="405" w:type="pct"/>
            <w:shd w:val="clear" w:color="000000" w:fill="FFFFFF"/>
            <w:hideMark/>
          </w:tcPr>
          <w:p w14:paraId="250A7F57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47,91%</w:t>
            </w:r>
          </w:p>
        </w:tc>
        <w:tc>
          <w:tcPr>
            <w:tcW w:w="460" w:type="pct"/>
            <w:shd w:val="clear" w:color="000000" w:fill="FFFFFF"/>
            <w:hideMark/>
          </w:tcPr>
          <w:p w14:paraId="1EC3F48A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12,37%</w:t>
            </w:r>
          </w:p>
        </w:tc>
      </w:tr>
      <w:tr w:rsidR="0062302F" w:rsidRPr="0062302F" w14:paraId="1BDB44B8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4BD0EA83" w14:textId="6687227C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04B899D8" w14:textId="40B8CA54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1896" w:type="pct"/>
            <w:shd w:val="clear" w:color="000000" w:fill="FFFFFF"/>
            <w:hideMark/>
          </w:tcPr>
          <w:p w14:paraId="28C18B5E" w14:textId="543808DB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09" w:type="pct"/>
            <w:shd w:val="clear" w:color="000000" w:fill="FFFFFF"/>
            <w:hideMark/>
          </w:tcPr>
          <w:p w14:paraId="240C5E95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89.686,45</w:t>
            </w:r>
          </w:p>
        </w:tc>
        <w:tc>
          <w:tcPr>
            <w:tcW w:w="609" w:type="pct"/>
            <w:shd w:val="clear" w:color="000000" w:fill="FFFFFF"/>
            <w:hideMark/>
          </w:tcPr>
          <w:p w14:paraId="09952DE8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128.300,00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3B0EE477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70.818,47</w:t>
            </w:r>
          </w:p>
        </w:tc>
        <w:tc>
          <w:tcPr>
            <w:tcW w:w="405" w:type="pct"/>
            <w:shd w:val="clear" w:color="000000" w:fill="FFFFFF"/>
            <w:hideMark/>
          </w:tcPr>
          <w:p w14:paraId="455F7223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78,96%</w:t>
            </w:r>
          </w:p>
        </w:tc>
        <w:tc>
          <w:tcPr>
            <w:tcW w:w="460" w:type="pct"/>
            <w:shd w:val="clear" w:color="000000" w:fill="FFFFFF"/>
            <w:hideMark/>
          </w:tcPr>
          <w:p w14:paraId="79AA786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55,20%</w:t>
            </w:r>
          </w:p>
        </w:tc>
      </w:tr>
      <w:tr w:rsidR="0062302F" w:rsidRPr="0062302F" w14:paraId="6146141F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45E80D34" w14:textId="6942E821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5254288E" w14:textId="0C36E085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896" w:type="pct"/>
            <w:shd w:val="clear" w:color="000000" w:fill="FFFFFF"/>
            <w:hideMark/>
          </w:tcPr>
          <w:p w14:paraId="724F4CDE" w14:textId="38F2B69B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609" w:type="pct"/>
            <w:shd w:val="clear" w:color="000000" w:fill="FFFFFF"/>
            <w:hideMark/>
          </w:tcPr>
          <w:p w14:paraId="6744DDB4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202,29</w:t>
            </w:r>
          </w:p>
        </w:tc>
        <w:tc>
          <w:tcPr>
            <w:tcW w:w="609" w:type="pct"/>
            <w:shd w:val="clear" w:color="000000" w:fill="FFFFFF"/>
            <w:hideMark/>
          </w:tcPr>
          <w:p w14:paraId="57FA225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32058A8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5" w:type="pct"/>
            <w:shd w:val="clear" w:color="000000" w:fill="FFFFFF"/>
            <w:hideMark/>
          </w:tcPr>
          <w:p w14:paraId="199F313C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460" w:type="pct"/>
            <w:shd w:val="clear" w:color="000000" w:fill="FFFFFF"/>
            <w:hideMark/>
          </w:tcPr>
          <w:p w14:paraId="0B309162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62302F" w:rsidRPr="0062302F" w14:paraId="5F383A15" w14:textId="77777777" w:rsidTr="0062302F">
        <w:trPr>
          <w:trHeight w:val="227"/>
        </w:trPr>
        <w:tc>
          <w:tcPr>
            <w:tcW w:w="133" w:type="pct"/>
            <w:shd w:val="clear" w:color="000000" w:fill="FFFFFF"/>
            <w:hideMark/>
          </w:tcPr>
          <w:p w14:paraId="587ED9F4" w14:textId="451912BB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174" w:type="pct"/>
            <w:gridSpan w:val="2"/>
            <w:shd w:val="clear" w:color="000000" w:fill="FFFFFF"/>
          </w:tcPr>
          <w:p w14:paraId="157C46AD" w14:textId="38704120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609" w:type="pct"/>
            <w:shd w:val="clear" w:color="000000" w:fill="FFFFFF"/>
            <w:hideMark/>
          </w:tcPr>
          <w:p w14:paraId="5BB016F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8.896,69</w:t>
            </w:r>
          </w:p>
        </w:tc>
        <w:tc>
          <w:tcPr>
            <w:tcW w:w="609" w:type="pct"/>
            <w:shd w:val="clear" w:color="000000" w:fill="FFFFFF"/>
            <w:hideMark/>
          </w:tcPr>
          <w:p w14:paraId="0D6CE8F5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58.500,00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2631A478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3.861,81</w:t>
            </w:r>
          </w:p>
        </w:tc>
        <w:tc>
          <w:tcPr>
            <w:tcW w:w="405" w:type="pct"/>
            <w:shd w:val="clear" w:color="000000" w:fill="FFFFFF"/>
            <w:hideMark/>
          </w:tcPr>
          <w:p w14:paraId="597F628A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43,41%</w:t>
            </w:r>
          </w:p>
        </w:tc>
        <w:tc>
          <w:tcPr>
            <w:tcW w:w="460" w:type="pct"/>
            <w:shd w:val="clear" w:color="000000" w:fill="FFFFFF"/>
            <w:hideMark/>
          </w:tcPr>
          <w:p w14:paraId="06F424E6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6,60%</w:t>
            </w:r>
          </w:p>
        </w:tc>
      </w:tr>
      <w:tr w:rsidR="0062302F" w:rsidRPr="0062302F" w14:paraId="5F6DE9CC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0B19301E" w14:textId="13B06054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4E92E5FE" w14:textId="3050064A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1896" w:type="pct"/>
            <w:shd w:val="clear" w:color="000000" w:fill="FFFFFF"/>
            <w:hideMark/>
          </w:tcPr>
          <w:p w14:paraId="6057A55F" w14:textId="3029CC64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609" w:type="pct"/>
            <w:shd w:val="clear" w:color="000000" w:fill="FFFFFF"/>
            <w:hideMark/>
          </w:tcPr>
          <w:p w14:paraId="1D70096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8.896,69</w:t>
            </w:r>
          </w:p>
        </w:tc>
        <w:tc>
          <w:tcPr>
            <w:tcW w:w="609" w:type="pct"/>
            <w:shd w:val="clear" w:color="000000" w:fill="FFFFFF"/>
            <w:hideMark/>
          </w:tcPr>
          <w:p w14:paraId="6E2475D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48.500,00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07CAEF97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3.861,81</w:t>
            </w:r>
          </w:p>
        </w:tc>
        <w:tc>
          <w:tcPr>
            <w:tcW w:w="405" w:type="pct"/>
            <w:shd w:val="clear" w:color="000000" w:fill="FFFFFF"/>
            <w:hideMark/>
          </w:tcPr>
          <w:p w14:paraId="0F5625D6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43,41%</w:t>
            </w:r>
          </w:p>
        </w:tc>
        <w:tc>
          <w:tcPr>
            <w:tcW w:w="460" w:type="pct"/>
            <w:shd w:val="clear" w:color="000000" w:fill="FFFFFF"/>
            <w:hideMark/>
          </w:tcPr>
          <w:p w14:paraId="76F63C22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7,96%</w:t>
            </w:r>
          </w:p>
        </w:tc>
      </w:tr>
      <w:tr w:rsidR="0062302F" w:rsidRPr="0062302F" w14:paraId="4D6C74E8" w14:textId="77777777" w:rsidTr="0062302F">
        <w:trPr>
          <w:trHeight w:val="227"/>
        </w:trPr>
        <w:tc>
          <w:tcPr>
            <w:tcW w:w="133" w:type="pct"/>
            <w:shd w:val="clear" w:color="000000" w:fill="FFFFFF"/>
          </w:tcPr>
          <w:p w14:paraId="16AF2448" w14:textId="706C2E7C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0961385E" w14:textId="090E12A9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1896" w:type="pct"/>
            <w:shd w:val="clear" w:color="000000" w:fill="FFFFFF"/>
            <w:hideMark/>
          </w:tcPr>
          <w:p w14:paraId="580FAA95" w14:textId="748E124E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609" w:type="pct"/>
            <w:shd w:val="clear" w:color="000000" w:fill="FFFFFF"/>
            <w:hideMark/>
          </w:tcPr>
          <w:p w14:paraId="6C0FFA75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3C083CA9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230BF77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5" w:type="pct"/>
            <w:shd w:val="clear" w:color="000000" w:fill="FFFFFF"/>
            <w:hideMark/>
          </w:tcPr>
          <w:p w14:paraId="1D204793" w14:textId="77777777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0" w:type="pct"/>
            <w:shd w:val="clear" w:color="000000" w:fill="FFFFFF"/>
            <w:hideMark/>
          </w:tcPr>
          <w:p w14:paraId="7A669B9B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62302F" w:rsidRPr="0062302F" w14:paraId="5071E92D" w14:textId="77777777" w:rsidTr="0062302F">
        <w:trPr>
          <w:trHeight w:val="227"/>
        </w:trPr>
        <w:tc>
          <w:tcPr>
            <w:tcW w:w="133" w:type="pct"/>
            <w:shd w:val="clear" w:color="000000" w:fill="FFFFFF"/>
            <w:hideMark/>
          </w:tcPr>
          <w:p w14:paraId="66F39D8C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174" w:type="pct"/>
            <w:gridSpan w:val="2"/>
            <w:shd w:val="clear" w:color="000000" w:fill="FFFFFF"/>
          </w:tcPr>
          <w:p w14:paraId="2AF001D1" w14:textId="353B7783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609" w:type="pct"/>
            <w:shd w:val="clear" w:color="000000" w:fill="FFFFFF"/>
            <w:hideMark/>
          </w:tcPr>
          <w:p w14:paraId="54826F5D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609" w:type="pct"/>
            <w:shd w:val="clear" w:color="000000" w:fill="FFFFFF"/>
            <w:hideMark/>
          </w:tcPr>
          <w:p w14:paraId="2AF724B8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162.200,00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664869D4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5" w:type="pct"/>
            <w:shd w:val="clear" w:color="000000" w:fill="FFFFFF"/>
            <w:hideMark/>
          </w:tcPr>
          <w:p w14:paraId="0310D2B2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460" w:type="pct"/>
            <w:shd w:val="clear" w:color="000000" w:fill="FFFFFF"/>
            <w:hideMark/>
          </w:tcPr>
          <w:p w14:paraId="376FA0A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62302F" w:rsidRPr="0062302F" w14:paraId="42575723" w14:textId="77777777" w:rsidTr="0062302F">
        <w:trPr>
          <w:trHeight w:val="227"/>
        </w:trPr>
        <w:tc>
          <w:tcPr>
            <w:tcW w:w="133" w:type="pct"/>
            <w:shd w:val="clear" w:color="000000" w:fill="FFFFFF"/>
            <w:hideMark/>
          </w:tcPr>
          <w:p w14:paraId="3D0B4607" w14:textId="76F0EC91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" w:type="pct"/>
            <w:shd w:val="clear" w:color="000000" w:fill="FFFFFF"/>
          </w:tcPr>
          <w:p w14:paraId="1D9F4177" w14:textId="7BEEA5B2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1896" w:type="pct"/>
            <w:shd w:val="clear" w:color="000000" w:fill="FFFFFF"/>
            <w:hideMark/>
          </w:tcPr>
          <w:p w14:paraId="748A5CD9" w14:textId="7D616CFE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609" w:type="pct"/>
            <w:shd w:val="clear" w:color="000000" w:fill="FFFFFF"/>
            <w:hideMark/>
          </w:tcPr>
          <w:p w14:paraId="7B18D6A8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609" w:type="pct"/>
            <w:shd w:val="clear" w:color="000000" w:fill="FFFFFF"/>
            <w:hideMark/>
          </w:tcPr>
          <w:p w14:paraId="02EFE58B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162.200,00</w:t>
            </w:r>
          </w:p>
        </w:tc>
        <w:tc>
          <w:tcPr>
            <w:tcW w:w="609" w:type="pct"/>
            <w:shd w:val="clear" w:color="000000" w:fill="FFFFFF"/>
            <w:hideMark/>
          </w:tcPr>
          <w:p w14:paraId="4845B85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5" w:type="pct"/>
            <w:shd w:val="clear" w:color="000000" w:fill="FFFFFF"/>
            <w:hideMark/>
          </w:tcPr>
          <w:p w14:paraId="35BEFB2B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460" w:type="pct"/>
            <w:shd w:val="clear" w:color="000000" w:fill="FFFFFF"/>
            <w:hideMark/>
          </w:tcPr>
          <w:p w14:paraId="7AB66541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62302F" w:rsidRPr="0062302F" w14:paraId="7A94D2AC" w14:textId="77777777" w:rsidTr="0062302F">
        <w:trPr>
          <w:trHeight w:val="227"/>
        </w:trPr>
        <w:tc>
          <w:tcPr>
            <w:tcW w:w="133" w:type="pct"/>
            <w:shd w:val="clear" w:color="000000" w:fill="C0C0C0"/>
            <w:hideMark/>
          </w:tcPr>
          <w:p w14:paraId="2BB6C28B" w14:textId="77777777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8" w:type="pct"/>
            <w:shd w:val="clear" w:color="000000" w:fill="C0C0C0"/>
          </w:tcPr>
          <w:p w14:paraId="51F4DCBC" w14:textId="77777777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6" w:type="pct"/>
            <w:shd w:val="clear" w:color="000000" w:fill="C0C0C0"/>
            <w:hideMark/>
          </w:tcPr>
          <w:p w14:paraId="1D520665" w14:textId="019F2902" w:rsidR="0062302F" w:rsidRPr="0062302F" w:rsidRDefault="0062302F" w:rsidP="0062302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 ( 6 + 7 + 8 )</w:t>
            </w:r>
          </w:p>
        </w:tc>
        <w:tc>
          <w:tcPr>
            <w:tcW w:w="609" w:type="pct"/>
            <w:shd w:val="clear" w:color="000000" w:fill="C0C0C0"/>
            <w:hideMark/>
          </w:tcPr>
          <w:p w14:paraId="6ECC177F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361.603,50</w:t>
            </w:r>
          </w:p>
        </w:tc>
        <w:tc>
          <w:tcPr>
            <w:tcW w:w="609" w:type="pct"/>
            <w:shd w:val="clear" w:color="000000" w:fill="C0C0C0"/>
            <w:hideMark/>
          </w:tcPr>
          <w:p w14:paraId="26AE55EE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1.792.500,00</w:t>
            </w:r>
          </w:p>
        </w:tc>
        <w:tc>
          <w:tcPr>
            <w:tcW w:w="609" w:type="pct"/>
            <w:shd w:val="clear" w:color="000000" w:fill="C0C0C0"/>
            <w:hideMark/>
          </w:tcPr>
          <w:p w14:paraId="0923496E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307.559,93</w:t>
            </w:r>
          </w:p>
        </w:tc>
        <w:tc>
          <w:tcPr>
            <w:tcW w:w="405" w:type="pct"/>
            <w:shd w:val="clear" w:color="000000" w:fill="C0C0C0"/>
            <w:hideMark/>
          </w:tcPr>
          <w:p w14:paraId="29C4BCC1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85,05%</w:t>
            </w:r>
          </w:p>
        </w:tc>
        <w:tc>
          <w:tcPr>
            <w:tcW w:w="460" w:type="pct"/>
            <w:shd w:val="clear" w:color="000000" w:fill="C0C0C0"/>
            <w:hideMark/>
          </w:tcPr>
          <w:p w14:paraId="7B8A1000" w14:textId="77777777" w:rsidR="0062302F" w:rsidRPr="0062302F" w:rsidRDefault="0062302F" w:rsidP="0062302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3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17,16%</w:t>
            </w:r>
          </w:p>
        </w:tc>
      </w:tr>
    </w:tbl>
    <w:p w14:paraId="00E19A1A" w14:textId="61E8689A" w:rsidR="00A636A7" w:rsidRDefault="006A7047" w:rsidP="00E671D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6A7047">
        <w:rPr>
          <w:rFonts w:cstheme="minorHAnsi"/>
          <w:sz w:val="22"/>
          <w:szCs w:val="22"/>
        </w:rPr>
        <w:t xml:space="preserve">U odnosu na </w:t>
      </w:r>
      <w:r w:rsidR="00DB2E03">
        <w:rPr>
          <w:rFonts w:cstheme="minorHAnsi"/>
          <w:sz w:val="22"/>
          <w:szCs w:val="22"/>
        </w:rPr>
        <w:t xml:space="preserve">isto razdoblje </w:t>
      </w:r>
      <w:r w:rsidRPr="006A7047">
        <w:rPr>
          <w:rFonts w:cstheme="minorHAnsi"/>
          <w:sz w:val="22"/>
          <w:szCs w:val="22"/>
        </w:rPr>
        <w:t>prethodn</w:t>
      </w:r>
      <w:r w:rsidR="00DB2E03">
        <w:rPr>
          <w:rFonts w:cstheme="minorHAnsi"/>
          <w:sz w:val="22"/>
          <w:szCs w:val="22"/>
        </w:rPr>
        <w:t>e</w:t>
      </w:r>
      <w:r w:rsidRPr="006A7047">
        <w:rPr>
          <w:rFonts w:cstheme="minorHAnsi"/>
          <w:sz w:val="22"/>
          <w:szCs w:val="22"/>
        </w:rPr>
        <w:t xml:space="preserve"> godin</w:t>
      </w:r>
      <w:r w:rsidR="00DB2E03">
        <w:rPr>
          <w:rFonts w:cstheme="minorHAnsi"/>
          <w:sz w:val="22"/>
          <w:szCs w:val="22"/>
        </w:rPr>
        <w:t>e</w:t>
      </w:r>
      <w:r w:rsidRPr="006A7047">
        <w:rPr>
          <w:rFonts w:cstheme="minorHAnsi"/>
          <w:sz w:val="22"/>
          <w:szCs w:val="22"/>
        </w:rPr>
        <w:t xml:space="preserve">, ostvareni prihodi i primici su </w:t>
      </w:r>
      <w:r w:rsidR="00E671D0">
        <w:rPr>
          <w:rFonts w:cstheme="minorHAnsi"/>
          <w:sz w:val="22"/>
          <w:szCs w:val="22"/>
        </w:rPr>
        <w:t>manji</w:t>
      </w:r>
      <w:r w:rsidRPr="006A7047">
        <w:rPr>
          <w:rFonts w:cstheme="minorHAnsi"/>
          <w:sz w:val="22"/>
          <w:szCs w:val="22"/>
        </w:rPr>
        <w:t xml:space="preserve"> za </w:t>
      </w:r>
      <w:r w:rsidR="00DB2E03" w:rsidRPr="00DB2E03">
        <w:rPr>
          <w:rFonts w:cstheme="minorHAnsi"/>
          <w:sz w:val="22"/>
          <w:szCs w:val="22"/>
        </w:rPr>
        <w:t>54.043,57</w:t>
      </w:r>
      <w:r w:rsidR="00DB2E03">
        <w:rPr>
          <w:rFonts w:cstheme="minorHAnsi"/>
          <w:sz w:val="22"/>
          <w:szCs w:val="22"/>
        </w:rPr>
        <w:t xml:space="preserve"> eura</w:t>
      </w:r>
      <w:r w:rsidR="00E671D0">
        <w:rPr>
          <w:rFonts w:cstheme="minorHAnsi"/>
          <w:sz w:val="22"/>
          <w:szCs w:val="22"/>
        </w:rPr>
        <w:t xml:space="preserve"> </w:t>
      </w:r>
      <w:r w:rsidRPr="006A7047">
        <w:rPr>
          <w:rFonts w:cstheme="minorHAnsi"/>
          <w:sz w:val="22"/>
          <w:szCs w:val="22"/>
        </w:rPr>
        <w:t xml:space="preserve">ili za </w:t>
      </w:r>
      <w:r w:rsidR="00DB2E03">
        <w:rPr>
          <w:rFonts w:cstheme="minorHAnsi"/>
          <w:sz w:val="22"/>
          <w:szCs w:val="22"/>
        </w:rPr>
        <w:t xml:space="preserve">14,95%. Prihodi od poreza bilježe rast, dok </w:t>
      </w:r>
      <w:r w:rsidR="00FD6AC6">
        <w:rPr>
          <w:rFonts w:cstheme="minorHAnsi"/>
          <w:sz w:val="22"/>
          <w:szCs w:val="22"/>
        </w:rPr>
        <w:t xml:space="preserve">su </w:t>
      </w:r>
      <w:r w:rsidR="00DB2E03">
        <w:rPr>
          <w:rFonts w:cstheme="minorHAnsi"/>
          <w:sz w:val="22"/>
          <w:szCs w:val="22"/>
        </w:rPr>
        <w:t>svi ostali prihodi</w:t>
      </w:r>
      <w:r w:rsidR="00FD6AC6">
        <w:rPr>
          <w:rFonts w:cstheme="minorHAnsi"/>
          <w:sz w:val="22"/>
          <w:szCs w:val="22"/>
        </w:rPr>
        <w:t xml:space="preserve"> ostvareni u manjem iznosu u odnosu na isto razdoblje prethodne godine. </w:t>
      </w:r>
    </w:p>
    <w:p w14:paraId="7E1130A6" w14:textId="77777777" w:rsidR="00FA7A1D" w:rsidRPr="00000576" w:rsidRDefault="00FA7A1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484548D" w14:textId="7C37ABF9" w:rsidR="00D13E13" w:rsidRPr="00F00684" w:rsidRDefault="00F00684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6" w:name="_Toc144891684"/>
      <w:r w:rsidRPr="00F00684">
        <w:rPr>
          <w:b/>
          <w:caps w:val="0"/>
          <w:sz w:val="22"/>
        </w:rPr>
        <w:t>Prihodi od poreza</w:t>
      </w:r>
      <w:bookmarkEnd w:id="6"/>
    </w:p>
    <w:p w14:paraId="13AC95FE" w14:textId="4C80616C" w:rsidR="00F92018" w:rsidRPr="000F0E7D" w:rsidRDefault="003E3931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 xml:space="preserve">Prihodi od poreza realizirani su u iznosu od </w:t>
      </w:r>
      <w:r w:rsidR="000F0E7D" w:rsidRPr="000F0E7D">
        <w:rPr>
          <w:rFonts w:cstheme="minorHAnsi"/>
          <w:sz w:val="22"/>
          <w:szCs w:val="22"/>
        </w:rPr>
        <w:t>44.597,54</w:t>
      </w:r>
      <w:r w:rsidR="000F0E7D">
        <w:rPr>
          <w:rFonts w:cstheme="minorHAnsi"/>
          <w:sz w:val="22"/>
          <w:szCs w:val="22"/>
        </w:rPr>
        <w:t xml:space="preserve"> eura</w:t>
      </w:r>
      <w:r w:rsidRPr="000F0E7D">
        <w:rPr>
          <w:rFonts w:cstheme="minorHAnsi"/>
          <w:sz w:val="22"/>
          <w:szCs w:val="22"/>
        </w:rPr>
        <w:t xml:space="preserve">, </w:t>
      </w:r>
      <w:r w:rsidR="00D13E13" w:rsidRPr="000F0E7D">
        <w:rPr>
          <w:rFonts w:cstheme="minorHAnsi"/>
          <w:sz w:val="22"/>
          <w:szCs w:val="22"/>
        </w:rPr>
        <w:t xml:space="preserve">dok su u </w:t>
      </w:r>
      <w:r w:rsidR="000F0E7D">
        <w:rPr>
          <w:rFonts w:cstheme="minorHAnsi"/>
          <w:sz w:val="22"/>
          <w:szCs w:val="22"/>
        </w:rPr>
        <w:t xml:space="preserve">istom razdoblju </w:t>
      </w:r>
      <w:r w:rsidR="00D13E13" w:rsidRPr="000F0E7D">
        <w:rPr>
          <w:rFonts w:cstheme="minorHAnsi"/>
          <w:sz w:val="22"/>
          <w:szCs w:val="22"/>
        </w:rPr>
        <w:t>20</w:t>
      </w:r>
      <w:r w:rsidR="00AE4296" w:rsidRPr="000F0E7D">
        <w:rPr>
          <w:rFonts w:cstheme="minorHAnsi"/>
          <w:sz w:val="22"/>
          <w:szCs w:val="22"/>
        </w:rPr>
        <w:t>2</w:t>
      </w:r>
      <w:r w:rsidR="000F0E7D">
        <w:rPr>
          <w:rFonts w:cstheme="minorHAnsi"/>
          <w:sz w:val="22"/>
          <w:szCs w:val="22"/>
        </w:rPr>
        <w:t>2</w:t>
      </w:r>
      <w:r w:rsidR="00D13E13" w:rsidRPr="000F0E7D">
        <w:rPr>
          <w:rFonts w:cstheme="minorHAnsi"/>
          <w:sz w:val="22"/>
          <w:szCs w:val="22"/>
        </w:rPr>
        <w:t>. godin</w:t>
      </w:r>
      <w:r w:rsidR="000F0E7D">
        <w:rPr>
          <w:rFonts w:cstheme="minorHAnsi"/>
          <w:sz w:val="22"/>
          <w:szCs w:val="22"/>
        </w:rPr>
        <w:t>e</w:t>
      </w:r>
      <w:r w:rsidR="00D13E13" w:rsidRPr="000F0E7D">
        <w:rPr>
          <w:rFonts w:cstheme="minorHAnsi"/>
          <w:sz w:val="22"/>
          <w:szCs w:val="22"/>
        </w:rPr>
        <w:t xml:space="preserve"> iznosili </w:t>
      </w:r>
      <w:r w:rsidR="000F0E7D" w:rsidRPr="000F0E7D">
        <w:rPr>
          <w:rFonts w:cstheme="minorHAnsi"/>
          <w:sz w:val="22"/>
          <w:szCs w:val="22"/>
        </w:rPr>
        <w:t>27.823,34</w:t>
      </w:r>
      <w:r w:rsidR="000F0E7D">
        <w:rPr>
          <w:rFonts w:cstheme="minorHAnsi"/>
          <w:sz w:val="22"/>
          <w:szCs w:val="22"/>
        </w:rPr>
        <w:t xml:space="preserve"> eura</w:t>
      </w:r>
      <w:r w:rsidR="00D13E13" w:rsidRPr="000F0E7D">
        <w:rPr>
          <w:rFonts w:cstheme="minorHAnsi"/>
          <w:sz w:val="22"/>
          <w:szCs w:val="22"/>
        </w:rPr>
        <w:t xml:space="preserve">, što predstavlja </w:t>
      </w:r>
      <w:r w:rsidR="00BF4249" w:rsidRPr="000F0E7D">
        <w:rPr>
          <w:rFonts w:cstheme="minorHAnsi"/>
          <w:sz w:val="22"/>
          <w:szCs w:val="22"/>
        </w:rPr>
        <w:t>povećanje</w:t>
      </w:r>
      <w:r w:rsidR="00D13E13" w:rsidRPr="000F0E7D">
        <w:rPr>
          <w:rFonts w:cstheme="minorHAnsi"/>
          <w:sz w:val="22"/>
          <w:szCs w:val="22"/>
        </w:rPr>
        <w:t xml:space="preserve"> za </w:t>
      </w:r>
      <w:r w:rsidR="000F0E7D">
        <w:rPr>
          <w:rFonts w:cstheme="minorHAnsi"/>
          <w:sz w:val="22"/>
          <w:szCs w:val="22"/>
        </w:rPr>
        <w:t>60,29</w:t>
      </w:r>
      <w:r w:rsidR="00D13E13" w:rsidRPr="000F0E7D">
        <w:rPr>
          <w:rFonts w:cstheme="minorHAnsi"/>
          <w:sz w:val="22"/>
          <w:szCs w:val="22"/>
        </w:rPr>
        <w:t xml:space="preserve">%. </w:t>
      </w:r>
    </w:p>
    <w:p w14:paraId="59D28C16" w14:textId="08332C29" w:rsidR="00327ABF" w:rsidRPr="000F0E7D" w:rsidRDefault="00327ABF" w:rsidP="00327AB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>U odnosu na Plan za 202</w:t>
      </w:r>
      <w:r w:rsidR="000F0E7D">
        <w:rPr>
          <w:rFonts w:cstheme="minorHAnsi"/>
          <w:sz w:val="22"/>
          <w:szCs w:val="22"/>
        </w:rPr>
        <w:t>3</w:t>
      </w:r>
      <w:r w:rsidRPr="000F0E7D">
        <w:rPr>
          <w:rFonts w:cstheme="minorHAnsi"/>
          <w:sz w:val="22"/>
          <w:szCs w:val="22"/>
        </w:rPr>
        <w:t xml:space="preserve">. godinu, ostvareno je </w:t>
      </w:r>
      <w:r w:rsidR="000F0E7D">
        <w:rPr>
          <w:rFonts w:cstheme="minorHAnsi"/>
          <w:sz w:val="22"/>
          <w:szCs w:val="22"/>
        </w:rPr>
        <w:t>52,78</w:t>
      </w:r>
      <w:r w:rsidRPr="000F0E7D">
        <w:rPr>
          <w:rFonts w:cstheme="minorHAnsi"/>
          <w:sz w:val="22"/>
          <w:szCs w:val="22"/>
        </w:rPr>
        <w:t>% planiranog prihoda od poreza.</w:t>
      </w:r>
    </w:p>
    <w:p w14:paraId="7A650B11" w14:textId="4B33D516" w:rsidR="00327ABF" w:rsidRPr="000F0E7D" w:rsidRDefault="00327ABF" w:rsidP="00327AB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>Na veće ostvarenje poreznih prihoda u 202</w:t>
      </w:r>
      <w:r w:rsidR="000F0E7D">
        <w:rPr>
          <w:rFonts w:cstheme="minorHAnsi"/>
          <w:sz w:val="22"/>
          <w:szCs w:val="22"/>
        </w:rPr>
        <w:t>3</w:t>
      </w:r>
      <w:r w:rsidRPr="000F0E7D">
        <w:rPr>
          <w:rFonts w:cstheme="minorHAnsi"/>
          <w:sz w:val="22"/>
          <w:szCs w:val="22"/>
        </w:rPr>
        <w:t>. godini utječe rast plaća koji je uvjetovan visokom stopom inflacije, a samim tim posljedično su ostvareni veći prihodi od poreza na dohodak.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0F0E7D" w:rsidRPr="000F0E7D" w14:paraId="397EE807" w14:textId="77777777" w:rsidTr="000F0E7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E128E3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EA675B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8BCE32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724096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248DF6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66FD8A" w14:textId="6FAB2012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>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199BE7" w14:textId="12FA4508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>5/4</w:t>
            </w:r>
          </w:p>
        </w:tc>
      </w:tr>
      <w:tr w:rsidR="000F0E7D" w:rsidRPr="000F0E7D" w14:paraId="4396D673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49818BA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9F97CA5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32FC76B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B0228E9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CE87912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D7955EC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E202EB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0F0E7D" w:rsidRPr="000F0E7D" w14:paraId="13206107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DD4E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D03E0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A621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27.823,34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1212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84.500,00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0F209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44.597,54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237A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160,29%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1F2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52,78%</w:t>
            </w:r>
          </w:p>
        </w:tc>
      </w:tr>
      <w:tr w:rsidR="000F0E7D" w:rsidRPr="000F0E7D" w14:paraId="3B7FAFF9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6FED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A7762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2D42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25.428,22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2999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A13A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39.859,32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0246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156,75%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D17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56,14%</w:t>
            </w:r>
          </w:p>
        </w:tc>
      </w:tr>
      <w:tr w:rsidR="000F0E7D" w:rsidRPr="000F0E7D" w14:paraId="750E7627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EA7B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50386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Porez i prirez na dohodak od nesamostalnog rada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52909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25.428,22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413C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7035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39.859,32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8293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156,75%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6862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56,14%</w:t>
            </w:r>
          </w:p>
        </w:tc>
      </w:tr>
      <w:tr w:rsidR="000F0E7D" w:rsidRPr="000F0E7D" w14:paraId="0B4CEAC9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7AE6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B79F7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2E7EC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2.395,12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837DB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38E6B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4.738,22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B921B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197,83%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23F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41,20%</w:t>
            </w:r>
          </w:p>
        </w:tc>
      </w:tr>
      <w:tr w:rsidR="000F0E7D" w:rsidRPr="000F0E7D" w14:paraId="2DA85DD5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7DBC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6131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6B144" w14:textId="454EA40D" w:rsidR="000F0E7D" w:rsidRPr="000F0E7D" w:rsidRDefault="000F0E7D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Stalni porezi na nepokretnu imovinu (zemlju, </w:t>
            </w:r>
            <w:r w:rsid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kuće…</w:t>
            </w: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B46FC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251,28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EFDBF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97E2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475,32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A4C8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189,16%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C7A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31,69%</w:t>
            </w:r>
          </w:p>
        </w:tc>
      </w:tr>
      <w:tr w:rsidR="000F0E7D" w:rsidRPr="000F0E7D" w14:paraId="1A5A1FFE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46F0D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6134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501D1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Povremeni porezi na imovinu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37C5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2.143,84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56E5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6F8EA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4.262,90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805C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198,84%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2B7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42,63%</w:t>
            </w:r>
          </w:p>
        </w:tc>
      </w:tr>
      <w:tr w:rsidR="000F0E7D" w:rsidRPr="000F0E7D" w14:paraId="7DCB0014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A09C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4C03F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0254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1E577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B83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A903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B72C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0F0E7D" w:rsidRPr="000F0E7D" w14:paraId="64356096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EEB1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6142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D9384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Porez na promet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117C7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A0BA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CED4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71203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BB6F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0F0E7D" w:rsidRPr="000F0E7D" w14:paraId="22B75E58" w14:textId="77777777" w:rsidTr="000F0E7D">
        <w:trPr>
          <w:trHeight w:val="1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7523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6145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8EEF9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Porezi na korištenje dobara ili izvođenje aktivnosti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4CA42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00CE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D073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99887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2F9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4A34E136" w14:textId="2783F335" w:rsidR="00900F08" w:rsidRDefault="000163DD" w:rsidP="000163DD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Porez</w:t>
      </w:r>
      <w:r w:rsidRPr="00BF4249">
        <w:rPr>
          <w:rFonts w:cstheme="minorHAnsi"/>
          <w:sz w:val="22"/>
          <w:szCs w:val="22"/>
        </w:rPr>
        <w:t xml:space="preserve"> na dohodak </w:t>
      </w:r>
      <w:r>
        <w:rPr>
          <w:rFonts w:cstheme="minorHAnsi"/>
          <w:sz w:val="22"/>
          <w:szCs w:val="22"/>
        </w:rPr>
        <w:t xml:space="preserve">je </w:t>
      </w:r>
      <w:r w:rsidRPr="00BF4249">
        <w:rPr>
          <w:rFonts w:cstheme="minorHAnsi"/>
          <w:sz w:val="22"/>
          <w:szCs w:val="22"/>
        </w:rPr>
        <w:t xml:space="preserve">najznačajniji prihod unutar poreznih prihoda, </w:t>
      </w:r>
      <w:r>
        <w:rPr>
          <w:rFonts w:cstheme="minorHAnsi"/>
          <w:sz w:val="22"/>
          <w:szCs w:val="22"/>
        </w:rPr>
        <w:t xml:space="preserve">te čini </w:t>
      </w:r>
      <w:r w:rsidR="00327ABF">
        <w:rPr>
          <w:rFonts w:cstheme="minorHAnsi"/>
          <w:sz w:val="22"/>
          <w:szCs w:val="22"/>
        </w:rPr>
        <w:t>8</w:t>
      </w:r>
      <w:r w:rsidR="000F0E7D">
        <w:rPr>
          <w:rFonts w:cstheme="minorHAnsi"/>
          <w:sz w:val="22"/>
          <w:szCs w:val="22"/>
        </w:rPr>
        <w:t>9,38</w:t>
      </w:r>
      <w:r>
        <w:rPr>
          <w:rFonts w:cstheme="minorHAnsi"/>
          <w:sz w:val="22"/>
          <w:szCs w:val="22"/>
        </w:rPr>
        <w:t xml:space="preserve">% svih poreznih prihoda, </w:t>
      </w:r>
      <w:r w:rsidRPr="00BF4249">
        <w:rPr>
          <w:rFonts w:cstheme="minorHAnsi"/>
          <w:sz w:val="22"/>
          <w:szCs w:val="22"/>
        </w:rPr>
        <w:t xml:space="preserve">a u </w:t>
      </w:r>
      <w:r w:rsidR="000F0E7D">
        <w:rPr>
          <w:rFonts w:cstheme="minorHAnsi"/>
          <w:sz w:val="22"/>
          <w:szCs w:val="22"/>
        </w:rPr>
        <w:t xml:space="preserve">prvoj polovici </w:t>
      </w:r>
      <w:r w:rsidRPr="00BF4249">
        <w:rPr>
          <w:rFonts w:cstheme="minorHAnsi"/>
          <w:sz w:val="22"/>
          <w:szCs w:val="22"/>
        </w:rPr>
        <w:t>202</w:t>
      </w:r>
      <w:r w:rsidR="000F0E7D">
        <w:rPr>
          <w:rFonts w:cstheme="minorHAnsi"/>
          <w:sz w:val="22"/>
          <w:szCs w:val="22"/>
        </w:rPr>
        <w:t>3</w:t>
      </w:r>
      <w:r w:rsidRPr="00BF4249">
        <w:rPr>
          <w:rFonts w:cstheme="minorHAnsi"/>
          <w:sz w:val="22"/>
          <w:szCs w:val="22"/>
        </w:rPr>
        <w:t>. godin</w:t>
      </w:r>
      <w:r w:rsidR="000F0E7D">
        <w:rPr>
          <w:rFonts w:cstheme="minorHAnsi"/>
          <w:sz w:val="22"/>
          <w:szCs w:val="22"/>
        </w:rPr>
        <w:t>e</w:t>
      </w:r>
      <w:r w:rsidRPr="00BF4249">
        <w:rPr>
          <w:rFonts w:cstheme="minorHAnsi"/>
          <w:sz w:val="22"/>
          <w:szCs w:val="22"/>
        </w:rPr>
        <w:t xml:space="preserve"> ostvaren</w:t>
      </w:r>
      <w:r>
        <w:rPr>
          <w:rFonts w:cstheme="minorHAnsi"/>
          <w:sz w:val="22"/>
          <w:szCs w:val="22"/>
        </w:rPr>
        <w:t xml:space="preserve"> je</w:t>
      </w:r>
      <w:r w:rsidRPr="00BF4249">
        <w:rPr>
          <w:rFonts w:cstheme="minorHAnsi"/>
          <w:sz w:val="22"/>
          <w:szCs w:val="22"/>
        </w:rPr>
        <w:t xml:space="preserve"> u iznosu od </w:t>
      </w:r>
      <w:r w:rsidR="000F0E7D">
        <w:rPr>
          <w:rFonts w:cstheme="minorHAnsi"/>
          <w:sz w:val="22"/>
          <w:szCs w:val="22"/>
        </w:rPr>
        <w:t>39.859,32 eura</w:t>
      </w:r>
      <w:r w:rsidRPr="00BF4249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Ostali porezni prihodi se odnose na porez na promet nekretnina</w:t>
      </w:r>
      <w:r w:rsidR="00327ABF">
        <w:rPr>
          <w:rFonts w:cstheme="minorHAnsi"/>
          <w:sz w:val="22"/>
          <w:szCs w:val="22"/>
        </w:rPr>
        <w:t xml:space="preserve"> čije je ostvarenje također povećano pod utjecajem rasta cijena nekretnina uzrokovano inflacijom</w:t>
      </w:r>
      <w:r w:rsidR="00B10604">
        <w:rPr>
          <w:rFonts w:cstheme="minorHAnsi"/>
          <w:sz w:val="22"/>
          <w:szCs w:val="22"/>
        </w:rPr>
        <w:t xml:space="preserve"> i povećanim interesom za ulaganje u nekretnine</w:t>
      </w:r>
      <w:r>
        <w:rPr>
          <w:rFonts w:cstheme="minorHAnsi"/>
          <w:sz w:val="22"/>
          <w:szCs w:val="22"/>
        </w:rPr>
        <w:t xml:space="preserve">, te porez na kuće za odmor čije je ostvarenje </w:t>
      </w:r>
      <w:r w:rsidR="00B10604">
        <w:rPr>
          <w:rFonts w:cstheme="minorHAnsi"/>
          <w:sz w:val="22"/>
          <w:szCs w:val="22"/>
        </w:rPr>
        <w:t>na razini prethodnih godina</w:t>
      </w:r>
      <w:r>
        <w:rPr>
          <w:rFonts w:cstheme="minorHAnsi"/>
          <w:sz w:val="22"/>
          <w:szCs w:val="22"/>
        </w:rPr>
        <w:t>.</w:t>
      </w:r>
    </w:p>
    <w:p w14:paraId="75BEC43E" w14:textId="77777777" w:rsidR="000163DD" w:rsidRPr="00000576" w:rsidRDefault="000163DD" w:rsidP="000163DD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01CDDD58" w14:textId="0CA7C62B" w:rsidR="00A747E5" w:rsidRPr="00F00684" w:rsidRDefault="00F00684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7" w:name="_Toc144891685"/>
      <w:r w:rsidRPr="00F00684">
        <w:rPr>
          <w:b/>
          <w:caps w:val="0"/>
          <w:sz w:val="22"/>
        </w:rPr>
        <w:t>Pomoći iz inozemstva i od subjekata unutar općeg proračuna</w:t>
      </w:r>
      <w:bookmarkEnd w:id="7"/>
      <w:r w:rsidRPr="00F00684">
        <w:rPr>
          <w:b/>
          <w:caps w:val="0"/>
          <w:sz w:val="22"/>
        </w:rPr>
        <w:t xml:space="preserve"> </w:t>
      </w:r>
    </w:p>
    <w:p w14:paraId="5A5AA53B" w14:textId="06A283E5" w:rsidR="00996402" w:rsidRDefault="00A747E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Pomoći iz inozemstva i od subjekata unutar općeg proračuna realizirane su u iznosu od </w:t>
      </w:r>
      <w:r w:rsidR="000F0E7D" w:rsidRPr="000F0E7D">
        <w:rPr>
          <w:rFonts w:cstheme="minorHAnsi"/>
          <w:sz w:val="22"/>
          <w:szCs w:val="22"/>
        </w:rPr>
        <w:t>179.266,17</w:t>
      </w:r>
      <w:r w:rsidR="000F0E7D">
        <w:rPr>
          <w:rFonts w:cstheme="minorHAnsi"/>
          <w:sz w:val="22"/>
          <w:szCs w:val="22"/>
        </w:rPr>
        <w:t xml:space="preserve"> eura,</w:t>
      </w:r>
      <w:r w:rsidRPr="00000576">
        <w:rPr>
          <w:rFonts w:cstheme="minorHAnsi"/>
          <w:sz w:val="22"/>
          <w:szCs w:val="22"/>
        </w:rPr>
        <w:t xml:space="preserve"> te su </w:t>
      </w:r>
      <w:r w:rsidR="000F0E7D">
        <w:rPr>
          <w:rFonts w:cstheme="minorHAnsi"/>
          <w:sz w:val="22"/>
          <w:szCs w:val="22"/>
        </w:rPr>
        <w:t xml:space="preserve">u </w:t>
      </w:r>
      <w:r w:rsidRPr="00000576">
        <w:rPr>
          <w:rFonts w:cstheme="minorHAnsi"/>
          <w:sz w:val="22"/>
          <w:szCs w:val="22"/>
        </w:rPr>
        <w:t>odnosu na prethodno izvještajno razdoblje</w:t>
      </w:r>
      <w:r w:rsidR="005C123A" w:rsidRPr="00000576">
        <w:rPr>
          <w:rFonts w:cstheme="minorHAnsi"/>
          <w:sz w:val="22"/>
          <w:szCs w:val="22"/>
        </w:rPr>
        <w:t xml:space="preserve"> </w:t>
      </w:r>
      <w:r w:rsidR="00E75D88">
        <w:rPr>
          <w:rFonts w:cstheme="minorHAnsi"/>
          <w:sz w:val="22"/>
          <w:szCs w:val="22"/>
        </w:rPr>
        <w:t xml:space="preserve">manje za </w:t>
      </w:r>
      <w:r w:rsidR="008B4A19">
        <w:rPr>
          <w:rFonts w:cstheme="minorHAnsi"/>
          <w:sz w:val="22"/>
          <w:szCs w:val="22"/>
        </w:rPr>
        <w:t>5,47</w:t>
      </w:r>
      <w:r w:rsidR="00117578">
        <w:rPr>
          <w:rFonts w:cstheme="minorHAnsi"/>
          <w:sz w:val="22"/>
          <w:szCs w:val="22"/>
        </w:rPr>
        <w:t>%</w:t>
      </w:r>
      <w:r w:rsidR="009C6954">
        <w:rPr>
          <w:rFonts w:cstheme="minorHAnsi"/>
          <w:sz w:val="22"/>
          <w:szCs w:val="22"/>
        </w:rPr>
        <w:t>.</w:t>
      </w:r>
      <w:r w:rsidR="005C123A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0F0E7D" w:rsidRPr="000F0E7D" w14:paraId="177DBC0A" w14:textId="77777777" w:rsidTr="000F0E7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6E0F30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4975F5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3F29D2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3433C1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B2647B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C595B5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0CFE20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0F0E7D" w:rsidRPr="000F0E7D" w14:paraId="7A930C3C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DA377C4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3367385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AFA7C93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689E346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2E0E665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8F39519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ABA2D8" w14:textId="77777777" w:rsidR="000F0E7D" w:rsidRPr="000F0E7D" w:rsidRDefault="000F0E7D" w:rsidP="000F0E7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0F0E7D" w:rsidRPr="000F0E7D" w14:paraId="1F2A14EA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95CD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BBED4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4CEAA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189.632,35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92F2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1.282.300,00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25AAF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179.266,17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DC6EA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94,53%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C29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13,98%</w:t>
            </w:r>
          </w:p>
        </w:tc>
      </w:tr>
      <w:tr w:rsidR="000F0E7D" w:rsidRPr="000F0E7D" w14:paraId="79CFD56F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12ABA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0F39F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ECA4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137.290,02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272B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846.200,00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6979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106.261,50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1500D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77,40%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A2F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12,56%</w:t>
            </w:r>
          </w:p>
        </w:tc>
      </w:tr>
      <w:tr w:rsidR="000F0E7D" w:rsidRPr="000F0E7D" w14:paraId="6CA76CF1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C0B0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F96DB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Tekuće pomoći proračunu iz drugih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B39CF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137.290,02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5836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313.000,00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EF20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106.261,50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7570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77,40%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62C7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33,95%</w:t>
            </w:r>
          </w:p>
        </w:tc>
      </w:tr>
      <w:tr w:rsidR="000F0E7D" w:rsidRPr="000F0E7D" w14:paraId="7A9BCDFC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B550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9FAEF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Kapitalne pomoći proračunu iz drugih proračuna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C735F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2E77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533.200,00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6A5E9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7A1C7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29BB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0F0E7D" w:rsidRPr="000F0E7D" w14:paraId="0DE20E71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41B2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71AF6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22C4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8.913,74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982A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4FE1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18.610,92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429D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208,79%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2DFC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36,49%</w:t>
            </w:r>
          </w:p>
        </w:tc>
      </w:tr>
      <w:tr w:rsidR="000F0E7D" w:rsidRPr="000F0E7D" w14:paraId="7137CFAD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0BC2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6341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DDE83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Tekuće pomoći od izvanproračunskih korisnika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DF49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452,66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E57F7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1A7A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8799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4B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0F0E7D" w:rsidRPr="000F0E7D" w14:paraId="135ACAB5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71FD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6342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CC4C8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Kapitalne 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61269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8.461,08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D133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82E34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18.610,92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1645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219,96%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790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53,17%</w:t>
            </w:r>
          </w:p>
        </w:tc>
      </w:tr>
      <w:tr w:rsidR="000F0E7D" w:rsidRPr="000F0E7D" w14:paraId="0811D387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F333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C4D99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9BC2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43.428,59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E84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385.100,00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2C9FB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54.393,75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B6206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125,25%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50B9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14,12%</w:t>
            </w:r>
          </w:p>
        </w:tc>
      </w:tr>
      <w:tr w:rsidR="000F0E7D" w:rsidRPr="000F0E7D" w14:paraId="2EC89004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CA182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CCC4C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Tekuće pomoći 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651CE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43.428,59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D2FA5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97E52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54.393,75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FDE2A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125,25%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CAF3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61,81%</w:t>
            </w:r>
          </w:p>
        </w:tc>
      </w:tr>
      <w:tr w:rsidR="000F0E7D" w:rsidRPr="000F0E7D" w14:paraId="75C5BEEE" w14:textId="77777777" w:rsidTr="000F0E7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9A4B8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11AAF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Kapitalne pomoći 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97E60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1D157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297.100,00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8AD61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0339D" w14:textId="77777777" w:rsidR="000F0E7D" w:rsidRPr="000F0E7D" w:rsidRDefault="000F0E7D" w:rsidP="000F0E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CB8C" w14:textId="77777777" w:rsidR="000F0E7D" w:rsidRPr="000F0E7D" w:rsidRDefault="000F0E7D" w:rsidP="000F0E7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F0E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071BB9AE" w14:textId="03FAD5EC" w:rsidR="00A747E5" w:rsidRPr="00000576" w:rsidRDefault="00A747E5" w:rsidP="0045314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Tekuće pomoći </w:t>
      </w:r>
      <w:r w:rsidR="00E74899" w:rsidRPr="00000576">
        <w:rPr>
          <w:rFonts w:cstheme="minorHAnsi"/>
          <w:sz w:val="22"/>
          <w:szCs w:val="22"/>
        </w:rPr>
        <w:t xml:space="preserve">iz drugih proračuna </w:t>
      </w:r>
      <w:r w:rsidR="00D8040E">
        <w:rPr>
          <w:rFonts w:cstheme="minorHAnsi"/>
          <w:sz w:val="22"/>
          <w:szCs w:val="22"/>
        </w:rPr>
        <w:t xml:space="preserve">najznačajniji su prihod unutar ove skupine prihoda, a </w:t>
      </w:r>
      <w:r w:rsidR="009C6954">
        <w:rPr>
          <w:rFonts w:cstheme="minorHAnsi"/>
          <w:sz w:val="22"/>
          <w:szCs w:val="22"/>
        </w:rPr>
        <w:t xml:space="preserve">odnose se na </w:t>
      </w:r>
      <w:r w:rsidR="00D8040E">
        <w:rPr>
          <w:rFonts w:cstheme="minorHAnsi"/>
          <w:sz w:val="22"/>
          <w:szCs w:val="22"/>
        </w:rPr>
        <w:t>isplate kompenzacijske mjere</w:t>
      </w:r>
      <w:r w:rsidR="009C6954">
        <w:rPr>
          <w:rFonts w:cstheme="minorHAnsi"/>
          <w:sz w:val="22"/>
          <w:szCs w:val="22"/>
        </w:rPr>
        <w:t xml:space="preserve"> iz državnog </w:t>
      </w:r>
      <w:r w:rsidR="00D8040E">
        <w:rPr>
          <w:rFonts w:cstheme="minorHAnsi"/>
          <w:sz w:val="22"/>
          <w:szCs w:val="22"/>
        </w:rPr>
        <w:t>proračuna</w:t>
      </w:r>
      <w:r w:rsidR="009C6954">
        <w:rPr>
          <w:rFonts w:cstheme="minorHAnsi"/>
          <w:sz w:val="22"/>
          <w:szCs w:val="22"/>
        </w:rPr>
        <w:t xml:space="preserve">, </w:t>
      </w:r>
      <w:r w:rsidR="00D8040E">
        <w:rPr>
          <w:rFonts w:cstheme="minorHAnsi"/>
          <w:sz w:val="22"/>
          <w:szCs w:val="22"/>
        </w:rPr>
        <w:t>te su</w:t>
      </w:r>
      <w:r w:rsidR="009C6954">
        <w:rPr>
          <w:rFonts w:cstheme="minorHAnsi"/>
          <w:sz w:val="22"/>
          <w:szCs w:val="22"/>
        </w:rPr>
        <w:t xml:space="preserve"> ostvarene u iznosu od </w:t>
      </w:r>
      <w:r w:rsidR="008B4A19" w:rsidRPr="008B4A19">
        <w:rPr>
          <w:rFonts w:cstheme="minorHAnsi"/>
          <w:sz w:val="22"/>
          <w:szCs w:val="22"/>
        </w:rPr>
        <w:t>106.261,50</w:t>
      </w:r>
      <w:r w:rsidR="008B4A19">
        <w:rPr>
          <w:rFonts w:cstheme="minorHAnsi"/>
          <w:sz w:val="22"/>
          <w:szCs w:val="22"/>
        </w:rPr>
        <w:t xml:space="preserve"> eura</w:t>
      </w:r>
      <w:r w:rsidR="00154587">
        <w:rPr>
          <w:rFonts w:cstheme="minorHAnsi"/>
          <w:sz w:val="22"/>
          <w:szCs w:val="22"/>
        </w:rPr>
        <w:t>.</w:t>
      </w:r>
      <w:r w:rsidR="004F24B1" w:rsidRPr="00000576">
        <w:rPr>
          <w:rFonts w:cstheme="minorHAnsi"/>
          <w:sz w:val="22"/>
          <w:szCs w:val="22"/>
        </w:rPr>
        <w:t xml:space="preserve"> </w:t>
      </w:r>
    </w:p>
    <w:p w14:paraId="57FB9A1A" w14:textId="2C45BB55" w:rsidR="008B4A19" w:rsidRDefault="008B4A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B4A19">
        <w:rPr>
          <w:rFonts w:cstheme="minorHAnsi"/>
          <w:sz w:val="22"/>
          <w:szCs w:val="22"/>
        </w:rPr>
        <w:t>Kapitalne pomoći iz drugih proračuna nisu ostvarene u promatranom razdoblju ali njihovo ostvarenje se očekuje u drugoj polovici godine po završetku projekta koji su sufinancirani iz državnog i županijskog proračuna</w:t>
      </w:r>
      <w:r>
        <w:rPr>
          <w:rFonts w:cstheme="minorHAnsi"/>
          <w:sz w:val="22"/>
          <w:szCs w:val="22"/>
        </w:rPr>
        <w:t>.</w:t>
      </w:r>
    </w:p>
    <w:p w14:paraId="4A722279" w14:textId="48216FF3" w:rsidR="00F10065" w:rsidRDefault="008B4A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Pomoći </w:t>
      </w:r>
      <w:r w:rsidR="001125F1" w:rsidRPr="00000576">
        <w:rPr>
          <w:rFonts w:cstheme="minorHAnsi"/>
          <w:sz w:val="22"/>
          <w:szCs w:val="22"/>
        </w:rPr>
        <w:t xml:space="preserve">od </w:t>
      </w:r>
      <w:r w:rsidR="00181225" w:rsidRPr="00000576">
        <w:rPr>
          <w:rFonts w:cstheme="minorHAnsi"/>
          <w:sz w:val="22"/>
          <w:szCs w:val="22"/>
        </w:rPr>
        <w:t>izvanproračunskih korisnika</w:t>
      </w:r>
      <w:r w:rsidR="00250D2E"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</w:t>
      </w:r>
      <w:r w:rsidR="00A678FB">
        <w:rPr>
          <w:rFonts w:cstheme="minorHAnsi"/>
          <w:sz w:val="22"/>
          <w:szCs w:val="22"/>
        </w:rPr>
        <w:t>dnose se</w:t>
      </w:r>
      <w:r w:rsidR="001C3A02" w:rsidRPr="00000576">
        <w:rPr>
          <w:rFonts w:cstheme="minorHAnsi"/>
          <w:sz w:val="22"/>
          <w:szCs w:val="22"/>
        </w:rPr>
        <w:t xml:space="preserve"> na </w:t>
      </w:r>
      <w:r w:rsidR="00F10065">
        <w:rPr>
          <w:rFonts w:cstheme="minorHAnsi"/>
          <w:sz w:val="22"/>
          <w:szCs w:val="22"/>
        </w:rPr>
        <w:t>kapitalne pomoći od izvanproračunskih korisnika</w:t>
      </w:r>
      <w:r>
        <w:rPr>
          <w:rFonts w:cstheme="minorHAnsi"/>
          <w:sz w:val="22"/>
          <w:szCs w:val="22"/>
        </w:rPr>
        <w:t>, odnosno</w:t>
      </w:r>
      <w:r w:rsidR="00F10065">
        <w:rPr>
          <w:rFonts w:cstheme="minorHAnsi"/>
          <w:sz w:val="22"/>
          <w:szCs w:val="22"/>
        </w:rPr>
        <w:t xml:space="preserve"> </w:t>
      </w:r>
      <w:r w:rsidR="00F10065" w:rsidRPr="00F10065">
        <w:rPr>
          <w:rFonts w:cstheme="minorHAnsi"/>
          <w:sz w:val="22"/>
          <w:szCs w:val="22"/>
        </w:rPr>
        <w:t xml:space="preserve">refundaciju sredstava u iznosu od </w:t>
      </w:r>
      <w:r w:rsidRPr="008B4A19">
        <w:rPr>
          <w:rFonts w:cstheme="minorHAnsi"/>
          <w:sz w:val="22"/>
          <w:szCs w:val="22"/>
        </w:rPr>
        <w:t>18.610,92</w:t>
      </w:r>
      <w:r>
        <w:rPr>
          <w:rFonts w:cstheme="minorHAnsi"/>
          <w:sz w:val="22"/>
          <w:szCs w:val="22"/>
        </w:rPr>
        <w:t xml:space="preserve"> eura</w:t>
      </w:r>
      <w:r w:rsidR="00F10065" w:rsidRPr="00F10065">
        <w:rPr>
          <w:rFonts w:cstheme="minorHAnsi"/>
          <w:sz w:val="22"/>
          <w:szCs w:val="22"/>
        </w:rPr>
        <w:t xml:space="preserve"> od strane FZOEU </w:t>
      </w:r>
      <w:r w:rsidR="00F10065">
        <w:rPr>
          <w:rFonts w:cstheme="minorHAnsi"/>
          <w:sz w:val="22"/>
          <w:szCs w:val="22"/>
        </w:rPr>
        <w:t xml:space="preserve">za </w:t>
      </w:r>
      <w:r w:rsidR="00F10065" w:rsidRPr="00F10065">
        <w:rPr>
          <w:rFonts w:cstheme="minorHAnsi"/>
          <w:sz w:val="22"/>
          <w:szCs w:val="22"/>
        </w:rPr>
        <w:t xml:space="preserve">nabavu </w:t>
      </w:r>
      <w:r>
        <w:rPr>
          <w:rFonts w:cstheme="minorHAnsi"/>
          <w:sz w:val="22"/>
          <w:szCs w:val="22"/>
        </w:rPr>
        <w:t>spremnika</w:t>
      </w:r>
      <w:r w:rsidR="00F10065" w:rsidRPr="00F10065">
        <w:rPr>
          <w:rFonts w:cstheme="minorHAnsi"/>
          <w:sz w:val="22"/>
          <w:szCs w:val="22"/>
        </w:rPr>
        <w:t xml:space="preserve"> za odvojeno prikupljanje otpad</w:t>
      </w:r>
      <w:r>
        <w:rPr>
          <w:rFonts w:cstheme="minorHAnsi"/>
          <w:sz w:val="22"/>
          <w:szCs w:val="22"/>
        </w:rPr>
        <w:t>a na javnim površinama</w:t>
      </w:r>
      <w:r w:rsidR="00F10065">
        <w:rPr>
          <w:rFonts w:cstheme="minorHAnsi"/>
          <w:sz w:val="22"/>
          <w:szCs w:val="22"/>
        </w:rPr>
        <w:t>.</w:t>
      </w:r>
      <w:r w:rsidR="00F10065" w:rsidRPr="00F10065">
        <w:rPr>
          <w:rFonts w:cstheme="minorHAnsi"/>
          <w:sz w:val="22"/>
          <w:szCs w:val="22"/>
        </w:rPr>
        <w:t xml:space="preserve"> </w:t>
      </w:r>
    </w:p>
    <w:p w14:paraId="3F683BA7" w14:textId="2872D367" w:rsidR="008C2930" w:rsidRDefault="008C293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C2930">
        <w:rPr>
          <w:rFonts w:cstheme="minorHAnsi"/>
          <w:sz w:val="22"/>
          <w:szCs w:val="22"/>
        </w:rPr>
        <w:t xml:space="preserve">Pomoći temeljem prijenosa EU sredstava ostvarene su u iznosu od </w:t>
      </w:r>
      <w:r w:rsidR="008B4A19" w:rsidRPr="008B4A19">
        <w:rPr>
          <w:rFonts w:cstheme="minorHAnsi"/>
          <w:sz w:val="22"/>
          <w:szCs w:val="22"/>
        </w:rPr>
        <w:t>54.393,75</w:t>
      </w:r>
      <w:r w:rsidR="008B4A19">
        <w:rPr>
          <w:rFonts w:cstheme="minorHAnsi"/>
          <w:sz w:val="22"/>
          <w:szCs w:val="22"/>
        </w:rPr>
        <w:t xml:space="preserve"> eura</w:t>
      </w:r>
      <w:r w:rsidRPr="008C2930">
        <w:rPr>
          <w:rFonts w:cstheme="minorHAnsi"/>
          <w:sz w:val="22"/>
          <w:szCs w:val="22"/>
        </w:rPr>
        <w:t xml:space="preserve">, čime je realizirano </w:t>
      </w:r>
      <w:r w:rsidR="008B4A19">
        <w:rPr>
          <w:rFonts w:cstheme="minorHAnsi"/>
          <w:sz w:val="22"/>
          <w:szCs w:val="22"/>
        </w:rPr>
        <w:t>14,12</w:t>
      </w:r>
      <w:r w:rsidRPr="008C2930">
        <w:rPr>
          <w:rFonts w:cstheme="minorHAnsi"/>
          <w:sz w:val="22"/>
          <w:szCs w:val="22"/>
        </w:rPr>
        <w:t>% Plana za 202</w:t>
      </w:r>
      <w:r w:rsidR="008B4A19">
        <w:rPr>
          <w:rFonts w:cstheme="minorHAnsi"/>
          <w:sz w:val="22"/>
          <w:szCs w:val="22"/>
        </w:rPr>
        <w:t xml:space="preserve">3. godinu, a u potpunosti se odnose na </w:t>
      </w:r>
      <w:r w:rsidRPr="008C2930">
        <w:rPr>
          <w:rFonts w:cstheme="minorHAnsi"/>
          <w:sz w:val="22"/>
          <w:szCs w:val="22"/>
        </w:rPr>
        <w:t xml:space="preserve">refundacije za projekt „Zaželi </w:t>
      </w:r>
      <w:r w:rsidR="008B4A19">
        <w:rPr>
          <w:rFonts w:cstheme="minorHAnsi"/>
          <w:sz w:val="22"/>
          <w:szCs w:val="22"/>
        </w:rPr>
        <w:t>I</w:t>
      </w:r>
      <w:r w:rsidRPr="008C2930">
        <w:rPr>
          <w:rFonts w:cstheme="minorHAnsi"/>
          <w:sz w:val="22"/>
          <w:szCs w:val="22"/>
        </w:rPr>
        <w:t>II“.</w:t>
      </w:r>
    </w:p>
    <w:p w14:paraId="626B05F2" w14:textId="77777777" w:rsidR="00554C35" w:rsidRDefault="00554C3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8F75F5B" w14:textId="0F01AE19" w:rsidR="00084D94" w:rsidRPr="0045314E" w:rsidRDefault="0045314E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8" w:name="_Toc144891686"/>
      <w:r w:rsidRPr="0045314E">
        <w:rPr>
          <w:b/>
          <w:caps w:val="0"/>
          <w:sz w:val="22"/>
        </w:rPr>
        <w:t>Prihodi od imovine</w:t>
      </w:r>
      <w:bookmarkEnd w:id="8"/>
    </w:p>
    <w:p w14:paraId="6511EC7E" w14:textId="60F38F79" w:rsidR="007971C9" w:rsidRDefault="002740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Prihodi od imovine realizirani su u iznosu od </w:t>
      </w:r>
      <w:r w:rsidR="00554C35" w:rsidRPr="00554C35">
        <w:rPr>
          <w:rFonts w:cstheme="minorHAnsi"/>
          <w:sz w:val="22"/>
          <w:szCs w:val="22"/>
        </w:rPr>
        <w:t>9.015,94</w:t>
      </w:r>
      <w:r w:rsidR="00554C35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što predstavlja </w:t>
      </w:r>
      <w:r w:rsidR="008C2930">
        <w:rPr>
          <w:rFonts w:cstheme="minorHAnsi"/>
          <w:sz w:val="22"/>
          <w:szCs w:val="22"/>
        </w:rPr>
        <w:t>smanjenje</w:t>
      </w:r>
      <w:r w:rsidR="00894864" w:rsidRPr="00000576">
        <w:rPr>
          <w:rFonts w:cstheme="minorHAnsi"/>
          <w:sz w:val="22"/>
          <w:szCs w:val="22"/>
        </w:rPr>
        <w:t xml:space="preserve"> </w:t>
      </w:r>
      <w:r w:rsidRPr="00000576">
        <w:rPr>
          <w:rFonts w:cstheme="minorHAnsi"/>
          <w:sz w:val="22"/>
          <w:szCs w:val="22"/>
        </w:rPr>
        <w:t>u odnosu na</w:t>
      </w:r>
      <w:r w:rsidR="00554C35">
        <w:rPr>
          <w:rFonts w:cstheme="minorHAnsi"/>
          <w:sz w:val="22"/>
          <w:szCs w:val="22"/>
        </w:rPr>
        <w:t xml:space="preserve"> isto razdoblje </w:t>
      </w:r>
      <w:r w:rsidR="00E6182A">
        <w:rPr>
          <w:rFonts w:cstheme="minorHAnsi"/>
          <w:sz w:val="22"/>
          <w:szCs w:val="22"/>
        </w:rPr>
        <w:t>202</w:t>
      </w:r>
      <w:r w:rsidR="00554C35">
        <w:rPr>
          <w:rFonts w:cstheme="minorHAnsi"/>
          <w:sz w:val="22"/>
          <w:szCs w:val="22"/>
        </w:rPr>
        <w:t>2</w:t>
      </w:r>
      <w:r w:rsidR="00E6182A">
        <w:rPr>
          <w:rFonts w:cstheme="minorHAnsi"/>
          <w:sz w:val="22"/>
          <w:szCs w:val="22"/>
        </w:rPr>
        <w:t>. godin</w:t>
      </w:r>
      <w:r w:rsidR="008C2930">
        <w:rPr>
          <w:rFonts w:cstheme="minorHAnsi"/>
          <w:sz w:val="22"/>
          <w:szCs w:val="22"/>
        </w:rPr>
        <w:t>u</w:t>
      </w:r>
      <w:r w:rsidR="00BC38E5">
        <w:rPr>
          <w:rFonts w:cstheme="minorHAnsi"/>
          <w:sz w:val="22"/>
          <w:szCs w:val="22"/>
        </w:rPr>
        <w:t>, a</w:t>
      </w:r>
      <w:r w:rsidR="00BC38E5" w:rsidRPr="00BC38E5">
        <w:rPr>
          <w:rFonts w:cstheme="minorHAnsi"/>
          <w:sz w:val="22"/>
          <w:szCs w:val="22"/>
        </w:rPr>
        <w:t xml:space="preserve"> </w:t>
      </w:r>
      <w:r w:rsidR="00BC38E5">
        <w:rPr>
          <w:rFonts w:cstheme="minorHAnsi"/>
          <w:sz w:val="22"/>
          <w:szCs w:val="22"/>
        </w:rPr>
        <w:t xml:space="preserve">ostvareno je </w:t>
      </w:r>
      <w:r w:rsidR="00554C35">
        <w:rPr>
          <w:rFonts w:cstheme="minorHAnsi"/>
          <w:sz w:val="22"/>
          <w:szCs w:val="22"/>
        </w:rPr>
        <w:t>12,37</w:t>
      </w:r>
      <w:r w:rsidR="00BC38E5">
        <w:rPr>
          <w:rFonts w:cstheme="minorHAnsi"/>
          <w:sz w:val="22"/>
          <w:szCs w:val="22"/>
        </w:rPr>
        <w:t>% planiranog iznosa.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554C35" w:rsidRPr="00554C35" w14:paraId="589209A9" w14:textId="77777777" w:rsidTr="00554C35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99603C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0DA953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25B297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4111BD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52530F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49204B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68BFC8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554C35" w:rsidRPr="00554C35" w14:paraId="3B45DB75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898676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7F8568D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D1D3876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0BED84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5A3DB4F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A21575D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2179AE" w14:textId="77777777" w:rsidR="00554C35" w:rsidRPr="00554C35" w:rsidRDefault="00554C35" w:rsidP="00554C3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554C35" w:rsidRPr="00554C35" w14:paraId="6ED2060A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0E9C7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53BB3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03C03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18.817,82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B24EB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72.900,00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41F71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9.015,94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7043F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47,91%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C8B2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12,37%</w:t>
            </w:r>
          </w:p>
        </w:tc>
      </w:tr>
      <w:tr w:rsidR="00554C35" w:rsidRPr="00554C35" w14:paraId="538780E8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EA260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7F05A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C7E5F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8B58A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93D5B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3BE2D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176,21%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9066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2,74%</w:t>
            </w:r>
          </w:p>
        </w:tc>
      </w:tr>
      <w:tr w:rsidR="00554C35" w:rsidRPr="00554C35" w14:paraId="3C09DE60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914D5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6413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0ECF9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Kamate na oročena sredstva i depozite po viđenju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FCBC5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9310F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C0D40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53362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176,21%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F5FD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5,48%</w:t>
            </w:r>
          </w:p>
        </w:tc>
      </w:tr>
      <w:tr w:rsidR="00554C35" w:rsidRPr="00554C35" w14:paraId="210C8009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4DF31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6414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33E3C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zateznih kamata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738B2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6E7A4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17CC2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BF3D3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4DC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554C35" w:rsidRPr="00554C35" w14:paraId="32466D99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89103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6414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025B0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zateznih kamata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2A5AF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AEEC3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66D8D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5BBB2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9713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554C35" w:rsidRPr="00554C35" w14:paraId="096321A7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75B2D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1A9F6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20954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18.814,71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C8F84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A9709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9.010,46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13D8A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47,89%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A7FB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12,39%</w:t>
            </w:r>
          </w:p>
        </w:tc>
      </w:tr>
      <w:tr w:rsidR="00554C35" w:rsidRPr="00554C35" w14:paraId="0E5DBD36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EB280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2A022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koncesije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604B4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F4AC0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38E08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C7A0F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7149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554C35" w:rsidRPr="00554C35" w14:paraId="711B8DD7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0833B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73445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zakupa i iznajmljivanja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CF9A2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18.784,77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18907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2AED5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8.863,39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9DA53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47,18%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7DCB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12,48%</w:t>
            </w:r>
          </w:p>
        </w:tc>
      </w:tr>
      <w:tr w:rsidR="00554C35" w:rsidRPr="00554C35" w14:paraId="2FB4EB78" w14:textId="77777777" w:rsidTr="00554C35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D5AAE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6429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9C82" w14:textId="77777777" w:rsidR="00554C35" w:rsidRPr="00554C35" w:rsidRDefault="00554C35" w:rsidP="00554C3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CCBCA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29,94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2F6CC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2D80A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147,07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6A8A2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491,22%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471D" w14:textId="77777777" w:rsidR="00554C35" w:rsidRPr="00554C35" w:rsidRDefault="00554C35" w:rsidP="00554C3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4C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21,01%</w:t>
            </w:r>
          </w:p>
        </w:tc>
      </w:tr>
    </w:tbl>
    <w:p w14:paraId="13E309B3" w14:textId="5ABD362B" w:rsidR="008C2930" w:rsidRPr="008C2930" w:rsidRDefault="00C77235" w:rsidP="008C293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Ostvareni prihodi od imovine se gotovo u potpunosti odnose na </w:t>
      </w:r>
      <w:r w:rsidRPr="00000576">
        <w:rPr>
          <w:rFonts w:cstheme="minorHAnsi"/>
          <w:sz w:val="22"/>
          <w:szCs w:val="22"/>
        </w:rPr>
        <w:t>prihod od zakupa i iznajmljivanja imovine</w:t>
      </w:r>
      <w:r w:rsidR="008C2930" w:rsidRPr="008C2930">
        <w:rPr>
          <w:rFonts w:cstheme="minorHAnsi"/>
          <w:sz w:val="22"/>
          <w:szCs w:val="22"/>
        </w:rPr>
        <w:t xml:space="preserve">, te su </w:t>
      </w:r>
      <w:r>
        <w:rPr>
          <w:rFonts w:cstheme="minorHAnsi"/>
          <w:sz w:val="22"/>
          <w:szCs w:val="22"/>
        </w:rPr>
        <w:t>smanjeni</w:t>
      </w:r>
      <w:r w:rsidR="008C2930" w:rsidRPr="008C2930">
        <w:rPr>
          <w:rFonts w:cstheme="minorHAnsi"/>
          <w:sz w:val="22"/>
          <w:szCs w:val="22"/>
        </w:rPr>
        <w:t xml:space="preserve"> u odnosu na </w:t>
      </w:r>
      <w:r>
        <w:rPr>
          <w:rFonts w:cstheme="minorHAnsi"/>
          <w:sz w:val="22"/>
          <w:szCs w:val="22"/>
        </w:rPr>
        <w:t>prethodnu godinu.</w:t>
      </w:r>
    </w:p>
    <w:p w14:paraId="34352169" w14:textId="77777777" w:rsidR="00E671D0" w:rsidRPr="00000576" w:rsidRDefault="00E671D0" w:rsidP="00DD520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5167258" w14:textId="33690A03" w:rsidR="0027166B" w:rsidRPr="0045314E" w:rsidRDefault="0045314E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9" w:name="_Toc144891687"/>
      <w:r w:rsidRPr="0045314E">
        <w:rPr>
          <w:b/>
          <w:caps w:val="0"/>
          <w:sz w:val="22"/>
        </w:rPr>
        <w:t>Prihodi od upravnih i administrativnih pristojbi, pristojbi posebnim propisima i naknadama</w:t>
      </w:r>
      <w:bookmarkEnd w:id="9"/>
      <w:r w:rsidRPr="0045314E">
        <w:rPr>
          <w:b/>
          <w:caps w:val="0"/>
          <w:sz w:val="22"/>
        </w:rPr>
        <w:t xml:space="preserve"> </w:t>
      </w:r>
    </w:p>
    <w:p w14:paraId="292D97A0" w14:textId="33E9F8D3" w:rsidR="0027166B" w:rsidRDefault="0027166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</w:t>
      </w:r>
      <w:r w:rsidR="00735F4B" w:rsidRPr="00000576">
        <w:rPr>
          <w:rFonts w:cstheme="minorHAnsi"/>
          <w:sz w:val="22"/>
          <w:szCs w:val="22"/>
        </w:rPr>
        <w:t>rihodi od upravnih i administrativnih pristojbi, pristojbi posebnim propisima i naknadama</w:t>
      </w:r>
      <w:r w:rsidRPr="00000576">
        <w:rPr>
          <w:rFonts w:cstheme="minorHAnsi"/>
          <w:sz w:val="22"/>
          <w:szCs w:val="22"/>
        </w:rPr>
        <w:t xml:space="preserve"> su iznos</w:t>
      </w:r>
      <w:r w:rsidR="00735F4B" w:rsidRPr="00000576">
        <w:rPr>
          <w:rFonts w:cstheme="minorHAnsi"/>
          <w:sz w:val="22"/>
          <w:szCs w:val="22"/>
        </w:rPr>
        <w:t>ili</w:t>
      </w:r>
      <w:r w:rsidRPr="00000576">
        <w:rPr>
          <w:rFonts w:cstheme="minorHAnsi"/>
          <w:sz w:val="22"/>
          <w:szCs w:val="22"/>
        </w:rPr>
        <w:t xml:space="preserve"> </w:t>
      </w:r>
      <w:r w:rsidR="00C80A30" w:rsidRPr="00C80A30">
        <w:rPr>
          <w:rFonts w:cstheme="minorHAnsi"/>
          <w:sz w:val="22"/>
          <w:szCs w:val="22"/>
        </w:rPr>
        <w:t>70.818,47</w:t>
      </w:r>
      <w:r w:rsidR="00C80A3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što predstavlja </w:t>
      </w:r>
      <w:r w:rsidR="00C80A30">
        <w:rPr>
          <w:rFonts w:cstheme="minorHAnsi"/>
          <w:sz w:val="22"/>
          <w:szCs w:val="22"/>
        </w:rPr>
        <w:t>smanjenje</w:t>
      </w:r>
      <w:r w:rsidRPr="00000576">
        <w:rPr>
          <w:rFonts w:cstheme="minorHAnsi"/>
          <w:sz w:val="22"/>
          <w:szCs w:val="22"/>
        </w:rPr>
        <w:t xml:space="preserve"> u odnosu na </w:t>
      </w:r>
      <w:r w:rsidR="00C80A30">
        <w:rPr>
          <w:rFonts w:cstheme="minorHAnsi"/>
          <w:sz w:val="22"/>
          <w:szCs w:val="22"/>
        </w:rPr>
        <w:t xml:space="preserve">isto razdoblje </w:t>
      </w:r>
      <w:r w:rsidRPr="00000576">
        <w:rPr>
          <w:rFonts w:cstheme="minorHAnsi"/>
          <w:sz w:val="22"/>
          <w:szCs w:val="22"/>
        </w:rPr>
        <w:t>20</w:t>
      </w:r>
      <w:r w:rsidR="008E2D5F">
        <w:rPr>
          <w:rFonts w:cstheme="minorHAnsi"/>
          <w:sz w:val="22"/>
          <w:szCs w:val="22"/>
        </w:rPr>
        <w:t>2</w:t>
      </w:r>
      <w:r w:rsidR="00C80A30">
        <w:rPr>
          <w:rFonts w:cstheme="minorHAnsi"/>
          <w:sz w:val="22"/>
          <w:szCs w:val="22"/>
        </w:rPr>
        <w:t>2</w:t>
      </w:r>
      <w:r w:rsidRPr="00000576">
        <w:rPr>
          <w:rFonts w:cstheme="minorHAnsi"/>
          <w:sz w:val="22"/>
          <w:szCs w:val="22"/>
        </w:rPr>
        <w:t>. godin</w:t>
      </w:r>
      <w:r w:rsidR="00C80A30"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od </w:t>
      </w:r>
      <w:r w:rsidR="00C80A30">
        <w:rPr>
          <w:rFonts w:cstheme="minorHAnsi"/>
          <w:sz w:val="22"/>
          <w:szCs w:val="22"/>
        </w:rPr>
        <w:t>21,04</w:t>
      </w:r>
      <w:r w:rsidRPr="00000576">
        <w:rPr>
          <w:rFonts w:cstheme="minorHAnsi"/>
          <w:sz w:val="22"/>
          <w:szCs w:val="22"/>
        </w:rPr>
        <w:t>%</w:t>
      </w:r>
      <w:r w:rsidR="00F11CC6" w:rsidRPr="00000576">
        <w:rPr>
          <w:rFonts w:cstheme="minorHAnsi"/>
          <w:sz w:val="22"/>
          <w:szCs w:val="22"/>
        </w:rPr>
        <w:t xml:space="preserve">, a ostvareno je </w:t>
      </w:r>
      <w:r w:rsidR="00C80A30">
        <w:rPr>
          <w:rFonts w:cstheme="minorHAnsi"/>
          <w:sz w:val="22"/>
          <w:szCs w:val="22"/>
        </w:rPr>
        <w:t>55,20</w:t>
      </w:r>
      <w:r w:rsidR="00846A46">
        <w:rPr>
          <w:rFonts w:cstheme="minorHAnsi"/>
          <w:sz w:val="22"/>
          <w:szCs w:val="22"/>
        </w:rPr>
        <w:t>%</w:t>
      </w:r>
      <w:r w:rsidR="00F11CC6" w:rsidRPr="00000576">
        <w:rPr>
          <w:rFonts w:cstheme="minorHAnsi"/>
          <w:sz w:val="22"/>
          <w:szCs w:val="22"/>
        </w:rPr>
        <w:t xml:space="preserve"> Plana za 20</w:t>
      </w:r>
      <w:r w:rsidR="00735F4B" w:rsidRPr="00000576">
        <w:rPr>
          <w:rFonts w:cstheme="minorHAnsi"/>
          <w:sz w:val="22"/>
          <w:szCs w:val="22"/>
        </w:rPr>
        <w:t>2</w:t>
      </w:r>
      <w:r w:rsidR="00C80A30">
        <w:rPr>
          <w:rFonts w:cstheme="minorHAnsi"/>
          <w:sz w:val="22"/>
          <w:szCs w:val="22"/>
        </w:rPr>
        <w:t>3</w:t>
      </w:r>
      <w:r w:rsidR="00F11CC6" w:rsidRPr="00000576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C80A30" w:rsidRPr="00C80A30" w14:paraId="48EB7F1E" w14:textId="77777777" w:rsidTr="00C80A30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8951D4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14F71A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58660F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4FF71C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C7C6B7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1F1BBE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7829E2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C80A30" w:rsidRPr="00C80A30" w14:paraId="74FF8C9A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D788EB3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507129C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B61E39B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5659197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48F375B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4B6E4E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394C7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C80A30" w:rsidRPr="00C80A30" w14:paraId="432D954B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1E8E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FE02C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7C90F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89.686,45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90C74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128.300,00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FAD56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70.818,47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984FF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78,96%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12C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55,20%</w:t>
            </w:r>
          </w:p>
        </w:tc>
      </w:tr>
      <w:tr w:rsidR="00C80A30" w:rsidRPr="00C80A30" w14:paraId="1FD4830D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523C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A78B7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5BBC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19D15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3F5A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435BA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F88A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C80A30" w:rsidRPr="00C80A30" w14:paraId="623BFA35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4570D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6513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C5295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upravne pristojbe i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8F53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35B8C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C08A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43BF0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6784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C80A30" w:rsidRPr="00C80A30" w14:paraId="4E2E913C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AB97E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AE25F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B614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73.678,25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FC9EC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21025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62.681,46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211C4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85,07%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A2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61,63%</w:t>
            </w:r>
          </w:p>
        </w:tc>
      </w:tr>
      <w:tr w:rsidR="00C80A30" w:rsidRPr="00C80A30" w14:paraId="64234463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67E3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3FE03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vodnog gospodarstva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4754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3395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BD30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39,59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BF9F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451,94%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DEE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5,66%</w:t>
            </w:r>
          </w:p>
        </w:tc>
      </w:tr>
      <w:tr w:rsidR="00C80A30" w:rsidRPr="00C80A30" w14:paraId="40574926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3847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6524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DEF1E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Doprinosi za šume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B57F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73.090,44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9B71B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258A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62.049,16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EFFD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84,89%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BAEA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62,05%</w:t>
            </w:r>
          </w:p>
        </w:tc>
      </w:tr>
      <w:tr w:rsidR="00C80A30" w:rsidRPr="00C80A30" w14:paraId="02DB434E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DFBBC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F5FB3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Ostali nespomenuti prihodi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7080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579,05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AEE1F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FA5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592,71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9EF1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102,36%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24A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59,27%</w:t>
            </w:r>
          </w:p>
        </w:tc>
      </w:tr>
      <w:tr w:rsidR="00C80A30" w:rsidRPr="00C80A30" w14:paraId="504A8698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1C2C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94188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Komunalni doprinosi i naknade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3B99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16.008,20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40F74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AC0F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8.137,01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289E7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50,83%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1D37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30,71%</w:t>
            </w:r>
          </w:p>
        </w:tc>
      </w:tr>
      <w:tr w:rsidR="00C80A30" w:rsidRPr="00C80A30" w14:paraId="6CAAEB41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A573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6531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11606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6C8BC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3,12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FA4FE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9962B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104,77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2A6B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3358,01%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C18B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6,98%</w:t>
            </w:r>
          </w:p>
        </w:tc>
      </w:tr>
      <w:tr w:rsidR="00C80A30" w:rsidRPr="00C80A30" w14:paraId="36FD2790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FFCD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6532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2E6D2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DDABD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16.005,08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2CF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31BA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8.032,24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8E11D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50,19%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A49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32,13%</w:t>
            </w:r>
          </w:p>
        </w:tc>
      </w:tr>
    </w:tbl>
    <w:p w14:paraId="520F6E82" w14:textId="7BE2AD04" w:rsidR="00102A00" w:rsidRPr="00000576" w:rsidRDefault="00102A00" w:rsidP="0045314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Unutar ove stavke najznačajniji prihod je </w:t>
      </w:r>
      <w:r w:rsidR="00450368" w:rsidRPr="00000576">
        <w:rPr>
          <w:rFonts w:cstheme="minorHAnsi"/>
          <w:sz w:val="22"/>
          <w:szCs w:val="22"/>
        </w:rPr>
        <w:t>prihod po posebnim propisima</w:t>
      </w:r>
      <w:r w:rsidR="009B702D" w:rsidRPr="00000576">
        <w:rPr>
          <w:rFonts w:cstheme="minorHAnsi"/>
          <w:sz w:val="22"/>
          <w:szCs w:val="22"/>
        </w:rPr>
        <w:t xml:space="preserve">, </w:t>
      </w:r>
      <w:r w:rsidR="00CF5739">
        <w:rPr>
          <w:rFonts w:cstheme="minorHAnsi"/>
          <w:sz w:val="22"/>
          <w:szCs w:val="22"/>
        </w:rPr>
        <w:t>a</w:t>
      </w:r>
      <w:r w:rsidR="008E2D5F">
        <w:rPr>
          <w:rFonts w:cstheme="minorHAnsi"/>
          <w:sz w:val="22"/>
          <w:szCs w:val="22"/>
        </w:rPr>
        <w:t xml:space="preserve"> </w:t>
      </w:r>
      <w:r w:rsidR="009B702D" w:rsidRPr="00000576">
        <w:rPr>
          <w:rFonts w:cstheme="minorHAnsi"/>
          <w:sz w:val="22"/>
          <w:szCs w:val="22"/>
        </w:rPr>
        <w:t>ostvaren je</w:t>
      </w:r>
      <w:r w:rsidRPr="00000576">
        <w:rPr>
          <w:rFonts w:cstheme="minorHAnsi"/>
          <w:sz w:val="22"/>
          <w:szCs w:val="22"/>
        </w:rPr>
        <w:t xml:space="preserve"> u iznosu od</w:t>
      </w:r>
      <w:r w:rsidR="00450368" w:rsidRPr="00000576">
        <w:rPr>
          <w:rFonts w:cstheme="minorHAnsi"/>
          <w:sz w:val="22"/>
          <w:szCs w:val="22"/>
        </w:rPr>
        <w:t xml:space="preserve"> </w:t>
      </w:r>
      <w:r w:rsidR="00C80A30" w:rsidRPr="00C80A30">
        <w:rPr>
          <w:rFonts w:cstheme="minorHAnsi"/>
          <w:sz w:val="22"/>
          <w:szCs w:val="22"/>
        </w:rPr>
        <w:t>62.681,46</w:t>
      </w:r>
      <w:r w:rsidR="00C80A3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>,</w:t>
      </w:r>
      <w:r w:rsidR="008E2D5F">
        <w:rPr>
          <w:rFonts w:cstheme="minorHAnsi"/>
          <w:sz w:val="22"/>
          <w:szCs w:val="22"/>
        </w:rPr>
        <w:t xml:space="preserve"> </w:t>
      </w:r>
      <w:r w:rsidR="00CF5739">
        <w:rPr>
          <w:rFonts w:cstheme="minorHAnsi"/>
          <w:sz w:val="22"/>
          <w:szCs w:val="22"/>
        </w:rPr>
        <w:t>te</w:t>
      </w:r>
      <w:r w:rsidR="008E2D5F">
        <w:rPr>
          <w:rFonts w:cstheme="minorHAnsi"/>
          <w:sz w:val="22"/>
          <w:szCs w:val="22"/>
        </w:rPr>
        <w:t xml:space="preserve"> </w:t>
      </w:r>
      <w:r w:rsidR="00CF5739">
        <w:rPr>
          <w:rFonts w:cstheme="minorHAnsi"/>
          <w:sz w:val="22"/>
          <w:szCs w:val="22"/>
        </w:rPr>
        <w:t xml:space="preserve">se </w:t>
      </w:r>
      <w:r w:rsidR="008E2D5F">
        <w:rPr>
          <w:rFonts w:cstheme="minorHAnsi"/>
          <w:sz w:val="22"/>
          <w:szCs w:val="22"/>
        </w:rPr>
        <w:t>gotovo u potpunosti odnosi na prihod od</w:t>
      </w:r>
      <w:r w:rsidR="009B702D" w:rsidRPr="00000576">
        <w:rPr>
          <w:rFonts w:cstheme="minorHAnsi"/>
          <w:sz w:val="22"/>
          <w:szCs w:val="22"/>
        </w:rPr>
        <w:t xml:space="preserve"> </w:t>
      </w:r>
      <w:r w:rsidR="008E2D5F">
        <w:rPr>
          <w:rFonts w:cstheme="minorHAnsi"/>
          <w:sz w:val="22"/>
          <w:szCs w:val="22"/>
        </w:rPr>
        <w:t>doprinosa za šume</w:t>
      </w:r>
      <w:r w:rsidR="006B5E02" w:rsidRPr="00000576">
        <w:rPr>
          <w:rFonts w:cstheme="minorHAnsi"/>
          <w:sz w:val="22"/>
          <w:szCs w:val="22"/>
        </w:rPr>
        <w:t>.</w:t>
      </w:r>
    </w:p>
    <w:p w14:paraId="20F4CBD3" w14:textId="0284F0B4" w:rsidR="00A86C0F" w:rsidRDefault="004503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Prihodi </w:t>
      </w:r>
      <w:r w:rsidR="008E2D5F">
        <w:rPr>
          <w:rFonts w:cstheme="minorHAnsi"/>
          <w:sz w:val="22"/>
          <w:szCs w:val="22"/>
        </w:rPr>
        <w:t>od</w:t>
      </w:r>
      <w:r w:rsidRPr="00000576">
        <w:rPr>
          <w:rFonts w:cstheme="minorHAnsi"/>
          <w:sz w:val="22"/>
          <w:szCs w:val="22"/>
        </w:rPr>
        <w:t xml:space="preserve"> komunaln</w:t>
      </w:r>
      <w:r w:rsidR="008E2D5F">
        <w:rPr>
          <w:rFonts w:cstheme="minorHAnsi"/>
          <w:sz w:val="22"/>
          <w:szCs w:val="22"/>
        </w:rPr>
        <w:t>og</w:t>
      </w:r>
      <w:r w:rsidRPr="00000576">
        <w:rPr>
          <w:rFonts w:cstheme="minorHAnsi"/>
          <w:sz w:val="22"/>
          <w:szCs w:val="22"/>
        </w:rPr>
        <w:t xml:space="preserve"> doprinos</w:t>
      </w:r>
      <w:r w:rsidR="008E2D5F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 i naknade </w:t>
      </w:r>
      <w:r w:rsidR="00275734" w:rsidRPr="00000576">
        <w:rPr>
          <w:rFonts w:cstheme="minorHAnsi"/>
          <w:sz w:val="22"/>
          <w:szCs w:val="22"/>
        </w:rPr>
        <w:t xml:space="preserve">u </w:t>
      </w:r>
      <w:r w:rsidR="008E2D5F">
        <w:rPr>
          <w:rFonts w:cstheme="minorHAnsi"/>
          <w:sz w:val="22"/>
          <w:szCs w:val="22"/>
        </w:rPr>
        <w:t xml:space="preserve">prvoj polovici </w:t>
      </w:r>
      <w:r w:rsidR="00275734" w:rsidRPr="00000576">
        <w:rPr>
          <w:rFonts w:cstheme="minorHAnsi"/>
          <w:sz w:val="22"/>
          <w:szCs w:val="22"/>
        </w:rPr>
        <w:t>202</w:t>
      </w:r>
      <w:r w:rsidR="00C80A30">
        <w:rPr>
          <w:rFonts w:cstheme="minorHAnsi"/>
          <w:sz w:val="22"/>
          <w:szCs w:val="22"/>
        </w:rPr>
        <w:t>3</w:t>
      </w:r>
      <w:r w:rsidR="00275734" w:rsidRPr="00000576">
        <w:rPr>
          <w:rFonts w:cstheme="minorHAnsi"/>
          <w:sz w:val="22"/>
          <w:szCs w:val="22"/>
        </w:rPr>
        <w:t xml:space="preserve">. godine ostvareni su u iznosu od </w:t>
      </w:r>
      <w:r w:rsidR="00C80A30" w:rsidRPr="00C80A30">
        <w:rPr>
          <w:rFonts w:cstheme="minorHAnsi"/>
          <w:sz w:val="22"/>
          <w:szCs w:val="22"/>
        </w:rPr>
        <w:t>8.137,01</w:t>
      </w:r>
      <w:r w:rsidR="00C80A30">
        <w:rPr>
          <w:rFonts w:cstheme="minorHAnsi"/>
          <w:sz w:val="22"/>
          <w:szCs w:val="22"/>
        </w:rPr>
        <w:t xml:space="preserve"> eura</w:t>
      </w:r>
      <w:r w:rsidR="00FD32B2" w:rsidRPr="00000576">
        <w:rPr>
          <w:rFonts w:cstheme="minorHAnsi"/>
          <w:sz w:val="22"/>
          <w:szCs w:val="22"/>
        </w:rPr>
        <w:t xml:space="preserve">, </w:t>
      </w:r>
      <w:r w:rsidR="00602FA8" w:rsidRPr="00000576">
        <w:rPr>
          <w:rFonts w:cstheme="minorHAnsi"/>
          <w:sz w:val="22"/>
          <w:szCs w:val="22"/>
        </w:rPr>
        <w:t xml:space="preserve">čime je ostvareno </w:t>
      </w:r>
      <w:r w:rsidR="00C80A30">
        <w:rPr>
          <w:rFonts w:cstheme="minorHAnsi"/>
          <w:sz w:val="22"/>
          <w:szCs w:val="22"/>
        </w:rPr>
        <w:t>30,71</w:t>
      </w:r>
      <w:r w:rsidR="008E2D5F">
        <w:rPr>
          <w:rFonts w:cstheme="minorHAnsi"/>
          <w:sz w:val="22"/>
          <w:szCs w:val="22"/>
        </w:rPr>
        <w:t>% planiranog iznosa</w:t>
      </w:r>
      <w:r w:rsidR="006B5E02" w:rsidRPr="00000576">
        <w:rPr>
          <w:rFonts w:cstheme="minorHAnsi"/>
          <w:sz w:val="22"/>
          <w:szCs w:val="22"/>
        </w:rPr>
        <w:t xml:space="preserve">. </w:t>
      </w:r>
    </w:p>
    <w:p w14:paraId="241E834F" w14:textId="77777777" w:rsidR="00E671D0" w:rsidRPr="00000576" w:rsidRDefault="00E671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54D6382" w14:textId="6FFB6A95" w:rsidR="00FD32B2" w:rsidRPr="0045314E" w:rsidRDefault="0045314E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0" w:name="_Toc144891688"/>
      <w:r w:rsidRPr="0045314E">
        <w:rPr>
          <w:b/>
          <w:caps w:val="0"/>
          <w:sz w:val="22"/>
        </w:rPr>
        <w:t>Kazne, upravne mjere i ostali prihodi</w:t>
      </w:r>
      <w:bookmarkEnd w:id="10"/>
      <w:r w:rsidRPr="0045314E">
        <w:rPr>
          <w:b/>
          <w:caps w:val="0"/>
          <w:sz w:val="22"/>
        </w:rPr>
        <w:t xml:space="preserve"> </w:t>
      </w:r>
    </w:p>
    <w:p w14:paraId="1956850B" w14:textId="48B72552" w:rsidR="00250D2E" w:rsidRDefault="00250D2E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000576">
        <w:rPr>
          <w:rFonts w:cstheme="minorHAnsi"/>
          <w:bCs/>
          <w:sz w:val="22"/>
          <w:szCs w:val="22"/>
        </w:rPr>
        <w:t xml:space="preserve">Kazne, </w:t>
      </w:r>
      <w:r w:rsidR="00CF5739">
        <w:rPr>
          <w:rFonts w:cstheme="minorHAnsi"/>
          <w:bCs/>
          <w:sz w:val="22"/>
          <w:szCs w:val="22"/>
        </w:rPr>
        <w:t>u</w:t>
      </w:r>
      <w:r w:rsidRPr="00000576">
        <w:rPr>
          <w:rFonts w:cstheme="minorHAnsi"/>
          <w:bCs/>
          <w:sz w:val="22"/>
          <w:szCs w:val="22"/>
        </w:rPr>
        <w:t xml:space="preserve">pravne mjere i ostali prihodi </w:t>
      </w:r>
      <w:r w:rsidR="00C80A30">
        <w:rPr>
          <w:rFonts w:cstheme="minorHAnsi"/>
          <w:bCs/>
          <w:sz w:val="22"/>
          <w:szCs w:val="22"/>
        </w:rPr>
        <w:t>nisu ostvareni u prvoj polovici 2023. godine</w:t>
      </w:r>
      <w:r w:rsidR="00193062">
        <w:rPr>
          <w:rFonts w:cstheme="minorHAnsi"/>
          <w:bCs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C80A30" w:rsidRPr="00C80A30" w14:paraId="3EC0BA1A" w14:textId="77777777" w:rsidTr="00C80A30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C9F600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EF5582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B051A4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38CC41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00C4FD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91DC8D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C6E15E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C80A30" w:rsidRPr="00C80A30" w14:paraId="58856470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2B040F4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EB88B63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8C81807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F4EA4D4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7161C27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642D46B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DBD4F4" w14:textId="77777777" w:rsidR="00C80A30" w:rsidRPr="00C80A30" w:rsidRDefault="00C80A30" w:rsidP="00C80A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C80A30" w:rsidRPr="00C80A30" w14:paraId="49916D9C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B07B0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AD19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80D4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202,29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642D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E4B2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60158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4F34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C80A30" w:rsidRPr="00C80A30" w14:paraId="1F4E08BC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6CCEA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025A4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0EF8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0E30F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37CF5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D99EC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C12F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C80A30" w:rsidRPr="00C80A30" w14:paraId="19171832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1D3EA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6819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B73A7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097A0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59352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15B20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1A627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039B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C80A30" w:rsidRPr="00C80A30" w14:paraId="06DCD8E9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7E33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3D560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800C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202,29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5FA5D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2AFDC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14EE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0447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C80A30" w:rsidRPr="00C80A30" w14:paraId="488A832C" w14:textId="77777777" w:rsidTr="00C80A3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A1BB3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6831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59B4D" w14:textId="77777777" w:rsidR="00C80A30" w:rsidRPr="00C80A30" w:rsidRDefault="00C80A30" w:rsidP="00C80A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39F1B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202,29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BA940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8B8F1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BD455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B876" w14:textId="77777777" w:rsidR="00C80A30" w:rsidRPr="00C80A30" w:rsidRDefault="00C80A30" w:rsidP="00C80A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80A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7259127A" w14:textId="77777777" w:rsidR="00A86C0F" w:rsidRPr="00000576" w:rsidRDefault="00A86C0F" w:rsidP="00193062">
      <w:pPr>
        <w:spacing w:before="12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54EF2687" w14:textId="6EC54ECA" w:rsidR="00305607" w:rsidRPr="0045314E" w:rsidRDefault="0045314E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1" w:name="_Toc144891689"/>
      <w:r w:rsidRPr="0045314E">
        <w:rPr>
          <w:b/>
          <w:caps w:val="0"/>
          <w:sz w:val="22"/>
        </w:rPr>
        <w:t>Prihodi od prodaje ne</w:t>
      </w:r>
      <w:r w:rsidR="00E671D0">
        <w:rPr>
          <w:b/>
          <w:caps w:val="0"/>
          <w:sz w:val="22"/>
        </w:rPr>
        <w:t>financijske</w:t>
      </w:r>
      <w:r w:rsidRPr="0045314E">
        <w:rPr>
          <w:b/>
          <w:caps w:val="0"/>
          <w:sz w:val="22"/>
        </w:rPr>
        <w:t xml:space="preserve"> imovine</w:t>
      </w:r>
      <w:bookmarkEnd w:id="11"/>
    </w:p>
    <w:p w14:paraId="22C78349" w14:textId="66EA31BA" w:rsidR="001C3A02" w:rsidRDefault="0030560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 od prodaje </w:t>
      </w:r>
      <w:r w:rsidR="00E671D0">
        <w:rPr>
          <w:rFonts w:cstheme="minorHAnsi"/>
          <w:sz w:val="22"/>
          <w:szCs w:val="22"/>
        </w:rPr>
        <w:t>nefinancijske</w:t>
      </w:r>
      <w:r w:rsidRPr="00000576">
        <w:rPr>
          <w:rFonts w:cstheme="minorHAnsi"/>
          <w:sz w:val="22"/>
          <w:szCs w:val="22"/>
        </w:rPr>
        <w:t xml:space="preserve"> imovine se odnos</w:t>
      </w:r>
      <w:r w:rsidR="001C3A02" w:rsidRPr="00000576">
        <w:rPr>
          <w:rFonts w:cstheme="minorHAnsi"/>
          <w:sz w:val="22"/>
          <w:szCs w:val="22"/>
        </w:rPr>
        <w:t>i</w:t>
      </w:r>
      <w:r w:rsidR="004711B9" w:rsidRPr="00000576">
        <w:rPr>
          <w:rFonts w:cstheme="minorHAnsi"/>
          <w:sz w:val="22"/>
          <w:szCs w:val="22"/>
        </w:rPr>
        <w:t xml:space="preserve"> </w:t>
      </w:r>
      <w:r w:rsidR="001C3A02" w:rsidRPr="00000576">
        <w:rPr>
          <w:rFonts w:cstheme="minorHAnsi"/>
          <w:sz w:val="22"/>
          <w:szCs w:val="22"/>
        </w:rPr>
        <w:t xml:space="preserve">u potpunosti </w:t>
      </w:r>
      <w:r w:rsidRPr="00000576">
        <w:rPr>
          <w:rFonts w:cstheme="minorHAnsi"/>
          <w:sz w:val="22"/>
          <w:szCs w:val="22"/>
        </w:rPr>
        <w:t>na prihod od prodaje</w:t>
      </w:r>
      <w:r w:rsidR="004B3DC6" w:rsidRPr="00000576">
        <w:rPr>
          <w:rFonts w:cstheme="minorHAnsi"/>
          <w:sz w:val="22"/>
          <w:szCs w:val="22"/>
        </w:rPr>
        <w:t xml:space="preserve"> </w:t>
      </w:r>
      <w:r w:rsidR="001C3A02" w:rsidRPr="00000576">
        <w:rPr>
          <w:rFonts w:cstheme="minorHAnsi"/>
          <w:sz w:val="22"/>
          <w:szCs w:val="22"/>
        </w:rPr>
        <w:t xml:space="preserve">poljoprivrednog zemljišta </w:t>
      </w:r>
      <w:r w:rsidRPr="00000576">
        <w:rPr>
          <w:rFonts w:cstheme="minorHAnsi"/>
          <w:sz w:val="22"/>
          <w:szCs w:val="22"/>
        </w:rPr>
        <w:t xml:space="preserve">koji </w:t>
      </w:r>
      <w:r w:rsidR="001C3A02" w:rsidRPr="00000576">
        <w:rPr>
          <w:rFonts w:cstheme="minorHAnsi"/>
          <w:sz w:val="22"/>
          <w:szCs w:val="22"/>
        </w:rPr>
        <w:t>je</w:t>
      </w:r>
      <w:r w:rsidRPr="00000576">
        <w:rPr>
          <w:rFonts w:cstheme="minorHAnsi"/>
          <w:sz w:val="22"/>
          <w:szCs w:val="22"/>
        </w:rPr>
        <w:t xml:space="preserve"> ostvaren u iznosu od</w:t>
      </w:r>
      <w:r w:rsidR="00C3735B">
        <w:rPr>
          <w:rFonts w:cstheme="minorHAnsi"/>
          <w:sz w:val="22"/>
          <w:szCs w:val="22"/>
        </w:rPr>
        <w:t xml:space="preserve"> </w:t>
      </w:r>
      <w:r w:rsidR="009D6FC0" w:rsidRPr="009D6FC0">
        <w:rPr>
          <w:rFonts w:cstheme="minorHAnsi"/>
          <w:sz w:val="22"/>
          <w:szCs w:val="22"/>
        </w:rPr>
        <w:t>3.861,81</w:t>
      </w:r>
      <w:r w:rsidR="009D6FC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</w:t>
      </w:r>
      <w:r w:rsidR="001561B9" w:rsidRPr="00000576">
        <w:rPr>
          <w:rFonts w:cstheme="minorHAnsi"/>
          <w:sz w:val="22"/>
          <w:szCs w:val="22"/>
        </w:rPr>
        <w:t xml:space="preserve">odnosno </w:t>
      </w:r>
      <w:r w:rsidR="009D6FC0">
        <w:rPr>
          <w:rFonts w:cstheme="minorHAnsi"/>
          <w:sz w:val="22"/>
          <w:szCs w:val="22"/>
        </w:rPr>
        <w:t>6,60</w:t>
      </w:r>
      <w:r w:rsidR="001561B9" w:rsidRPr="00000576">
        <w:rPr>
          <w:rFonts w:cstheme="minorHAnsi"/>
          <w:sz w:val="22"/>
          <w:szCs w:val="22"/>
        </w:rPr>
        <w:t>% Plana za 20</w:t>
      </w:r>
      <w:r w:rsidR="004711B9" w:rsidRPr="00000576">
        <w:rPr>
          <w:rFonts w:cstheme="minorHAnsi"/>
          <w:sz w:val="22"/>
          <w:szCs w:val="22"/>
        </w:rPr>
        <w:t>2</w:t>
      </w:r>
      <w:r w:rsidR="009D6FC0">
        <w:rPr>
          <w:rFonts w:cstheme="minorHAnsi"/>
          <w:sz w:val="22"/>
          <w:szCs w:val="22"/>
        </w:rPr>
        <w:t>3</w:t>
      </w:r>
      <w:r w:rsidR="001561B9" w:rsidRPr="00000576">
        <w:rPr>
          <w:rFonts w:cstheme="minorHAnsi"/>
          <w:sz w:val="22"/>
          <w:szCs w:val="22"/>
        </w:rPr>
        <w:t>. godinu.</w:t>
      </w:r>
      <w:r w:rsidR="00465765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9D6FC0" w:rsidRPr="009D6FC0" w14:paraId="470528FA" w14:textId="77777777" w:rsidTr="009D6FC0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811177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87B69B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7530DF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E0CFAC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8BF2A4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E872C4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7A657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9D6FC0" w:rsidRPr="009D6FC0" w14:paraId="3E403E5F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C01E2B4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F62CBBC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C2EDBE9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CB77A12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5D2EB45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7986AAB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40E93A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9D6FC0" w:rsidRPr="009D6FC0" w14:paraId="79E57CAE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5965B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604B8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FAA4A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8.896,69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4892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DCA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3.861,81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6E3CF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43,41%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60D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6,60%</w:t>
            </w:r>
          </w:p>
        </w:tc>
      </w:tr>
      <w:tr w:rsidR="009D6FC0" w:rsidRPr="009D6FC0" w14:paraId="48C6B8F8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D0CFA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7D711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297F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8.896,69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BE08C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48.500,00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25F8E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3.861,81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8BECE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43,41%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8DBE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7,96%</w:t>
            </w:r>
          </w:p>
        </w:tc>
      </w:tr>
      <w:tr w:rsidR="009D6FC0" w:rsidRPr="009D6FC0" w14:paraId="31444FFF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2E12E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56872" w14:textId="47D2B729" w:rsidR="009D6FC0" w:rsidRPr="009D6FC0" w:rsidRDefault="009D6FC0" w:rsidP="009D6FC0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mat.</w:t>
            </w: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imovine - prirodnih bogatstava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4A2E0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8.896,69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92D7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1E9A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3.861,81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D60B8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43,41%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3D66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8,22%</w:t>
            </w:r>
          </w:p>
        </w:tc>
      </w:tr>
      <w:tr w:rsidR="009D6FC0" w:rsidRPr="009D6FC0" w14:paraId="1046C81C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C2CE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71229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060A6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8.896,69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88B29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F68FA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3.861,81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B2ACC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43,41%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7DC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8,22%</w:t>
            </w:r>
          </w:p>
        </w:tc>
      </w:tr>
      <w:tr w:rsidR="009D6FC0" w:rsidRPr="009D6FC0" w14:paraId="49A746D7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78FF9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B06F8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nematerijalne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724D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C662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6D1BC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8F9A7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6C23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1E4DB8FD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594ED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7126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F1460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Ostala nematerijalna imovina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D7D4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B841B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7B09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E4DD9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DA0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19234AE5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9109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ED8EA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4704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3798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9286D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099EA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885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5AADF5A1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CE0E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CA9C0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90EA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3154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3EFA8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DAF9C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DAA0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07483CD7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50298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16AA4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Stambeni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50539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627E8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5E51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1ABB3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A26F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0BBA36BE" w14:textId="77777777" w:rsidR="00305607" w:rsidRPr="00000576" w:rsidRDefault="00305607" w:rsidP="00117578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01D2CACE" w14:textId="06038913" w:rsidR="00E97F5D" w:rsidRPr="002324AF" w:rsidRDefault="002324AF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2" w:name="_Toc144891690"/>
      <w:r w:rsidRPr="002324AF">
        <w:rPr>
          <w:b/>
          <w:caps w:val="0"/>
          <w:sz w:val="22"/>
        </w:rPr>
        <w:t>Primici  od  financijske imovine i zaduživanja</w:t>
      </w:r>
      <w:bookmarkEnd w:id="12"/>
    </w:p>
    <w:p w14:paraId="003CF66E" w14:textId="32D675C6" w:rsidR="00102A1B" w:rsidRDefault="001561B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Primici od </w:t>
      </w:r>
      <w:r w:rsidR="004B6EEF">
        <w:rPr>
          <w:rFonts w:cstheme="minorHAnsi"/>
          <w:sz w:val="22"/>
          <w:szCs w:val="22"/>
        </w:rPr>
        <w:t xml:space="preserve">financijske imovine i </w:t>
      </w:r>
      <w:r w:rsidRPr="00000576">
        <w:rPr>
          <w:rFonts w:cstheme="minorHAnsi"/>
          <w:sz w:val="22"/>
          <w:szCs w:val="22"/>
        </w:rPr>
        <w:t xml:space="preserve">zaduživanja </w:t>
      </w:r>
      <w:r w:rsidR="009D6FC0">
        <w:rPr>
          <w:rFonts w:cstheme="minorHAnsi"/>
          <w:sz w:val="22"/>
          <w:szCs w:val="22"/>
        </w:rPr>
        <w:t>nisu ostvareni u prvoj polovici 2023. godine.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9D6FC0" w:rsidRPr="009D6FC0" w14:paraId="067F1793" w14:textId="77777777" w:rsidTr="009D6FC0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E9DD4A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DB6509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BFB534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9768CE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9C634E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9A7136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F62891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9D6FC0" w:rsidRPr="009D6FC0" w14:paraId="61FEB4A7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4B80E29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40417BB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C0F3CCC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F9C2C1D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550B61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AA286F1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1FAB63" w14:textId="77777777" w:rsidR="009D6FC0" w:rsidRPr="009D6FC0" w:rsidRDefault="009D6FC0" w:rsidP="009D6FC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9D6FC0" w:rsidRPr="009D6FC0" w14:paraId="3559FCF1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553A6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6A6C6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8DEDB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A6B19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162.200,00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B7B8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E643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CBEB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6EE49594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98C1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FD600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185B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3441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162.200,00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7662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659CF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0ECD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02F69528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B371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C5B06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CB278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795C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157.200,00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93074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4D17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CD4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0D9945D1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BEC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8443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7A852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11BF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ACC3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157.200,00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8383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1433D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49E8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4DE5F929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81235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F4655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Primljeni zajmovi od drugih razina vlasti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A04DD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99842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2ED20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FB39A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DFA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D6FC0" w:rsidRPr="009D6FC0" w14:paraId="4146CC20" w14:textId="77777777" w:rsidTr="009D6FC0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47E87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8471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6B258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Primljeni zajmovi od državnog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4C7BD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F7B8C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37431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D3678" w14:textId="77777777" w:rsidR="009D6FC0" w:rsidRPr="009D6FC0" w:rsidRDefault="009D6FC0" w:rsidP="009D6FC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7C0E" w14:textId="77777777" w:rsidR="009D6FC0" w:rsidRPr="009D6FC0" w:rsidRDefault="009D6FC0" w:rsidP="009D6FC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D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1AE277A3" w14:textId="77777777" w:rsidR="0076152E" w:rsidRDefault="0076152E" w:rsidP="00000576">
      <w:pPr>
        <w:spacing w:before="0" w:after="120" w:line="240" w:lineRule="auto"/>
        <w:jc w:val="both"/>
        <w:rPr>
          <w:rFonts w:cstheme="minorHAnsi"/>
          <w:color w:val="FF0000"/>
          <w:sz w:val="22"/>
          <w:szCs w:val="22"/>
        </w:rPr>
      </w:pPr>
    </w:p>
    <w:p w14:paraId="6870EFB0" w14:textId="77777777" w:rsidR="009D6FC0" w:rsidRPr="00000576" w:rsidRDefault="009D6FC0" w:rsidP="00000576">
      <w:pPr>
        <w:spacing w:before="0" w:after="120" w:line="240" w:lineRule="auto"/>
        <w:jc w:val="both"/>
        <w:rPr>
          <w:rFonts w:cstheme="minorHAnsi"/>
          <w:color w:val="FF0000"/>
          <w:sz w:val="22"/>
          <w:szCs w:val="22"/>
        </w:rPr>
      </w:pPr>
    </w:p>
    <w:p w14:paraId="023087EB" w14:textId="77777777" w:rsidR="00E97F5D" w:rsidRPr="002324AF" w:rsidRDefault="00E97F5D" w:rsidP="00165728">
      <w:pPr>
        <w:pStyle w:val="Heading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13" w:name="_Toc144891691"/>
      <w:r w:rsidRPr="002324AF">
        <w:rPr>
          <w:b/>
          <w:sz w:val="22"/>
        </w:rPr>
        <w:t>RASHODI I IZDACI</w:t>
      </w:r>
      <w:bookmarkEnd w:id="13"/>
    </w:p>
    <w:p w14:paraId="50E19D4F" w14:textId="32DC6573" w:rsidR="00451393" w:rsidRDefault="00A75277" w:rsidP="00451393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Rashode i izdatke </w:t>
      </w:r>
      <w:r w:rsidR="00451393" w:rsidRPr="00451393">
        <w:rPr>
          <w:rFonts w:cstheme="minorHAnsi"/>
          <w:sz w:val="22"/>
          <w:szCs w:val="22"/>
        </w:rPr>
        <w:t xml:space="preserve">dijelimo na rashode poslovanja koji su izvršeni u iznosu od </w:t>
      </w:r>
      <w:r w:rsidR="00A4410C" w:rsidRPr="00A4410C">
        <w:rPr>
          <w:rFonts w:cstheme="minorHAnsi"/>
          <w:sz w:val="22"/>
          <w:szCs w:val="22"/>
        </w:rPr>
        <w:t>272.246,67</w:t>
      </w:r>
      <w:r w:rsidR="00A4410C">
        <w:rPr>
          <w:rFonts w:cstheme="minorHAnsi"/>
          <w:sz w:val="22"/>
          <w:szCs w:val="22"/>
        </w:rPr>
        <w:t xml:space="preserve"> eura</w:t>
      </w:r>
      <w:r w:rsidR="00451393" w:rsidRPr="00451393">
        <w:rPr>
          <w:rFonts w:cstheme="minorHAnsi"/>
          <w:sz w:val="22"/>
          <w:szCs w:val="22"/>
        </w:rPr>
        <w:t xml:space="preserve">, što je </w:t>
      </w:r>
      <w:r w:rsidR="00A4410C">
        <w:rPr>
          <w:rFonts w:cstheme="minorHAnsi"/>
          <w:sz w:val="22"/>
          <w:szCs w:val="22"/>
        </w:rPr>
        <w:t>13,10</w:t>
      </w:r>
      <w:r w:rsidR="00451393" w:rsidRPr="00451393">
        <w:rPr>
          <w:rFonts w:cstheme="minorHAnsi"/>
          <w:sz w:val="22"/>
          <w:szCs w:val="22"/>
        </w:rPr>
        <w:t xml:space="preserve">% </w:t>
      </w:r>
      <w:r>
        <w:rPr>
          <w:rFonts w:cstheme="minorHAnsi"/>
          <w:sz w:val="22"/>
          <w:szCs w:val="22"/>
        </w:rPr>
        <w:t>manje</w:t>
      </w:r>
      <w:r w:rsidR="00451393" w:rsidRPr="00451393">
        <w:rPr>
          <w:rFonts w:cstheme="minorHAnsi"/>
          <w:sz w:val="22"/>
          <w:szCs w:val="22"/>
        </w:rPr>
        <w:t xml:space="preserve"> u odnosu na </w:t>
      </w:r>
      <w:r w:rsidR="00A4410C">
        <w:rPr>
          <w:rFonts w:cstheme="minorHAnsi"/>
          <w:sz w:val="22"/>
          <w:szCs w:val="22"/>
        </w:rPr>
        <w:t xml:space="preserve">isto razdoblje </w:t>
      </w:r>
      <w:r w:rsidR="00451393" w:rsidRPr="00451393">
        <w:rPr>
          <w:rFonts w:cstheme="minorHAnsi"/>
          <w:sz w:val="22"/>
          <w:szCs w:val="22"/>
        </w:rPr>
        <w:t>prethodn</w:t>
      </w:r>
      <w:r w:rsidR="00A4410C">
        <w:rPr>
          <w:rFonts w:cstheme="minorHAnsi"/>
          <w:sz w:val="22"/>
          <w:szCs w:val="22"/>
        </w:rPr>
        <w:t>e</w:t>
      </w:r>
      <w:r w:rsidR="00451393" w:rsidRPr="00451393">
        <w:rPr>
          <w:rFonts w:cstheme="minorHAnsi"/>
          <w:sz w:val="22"/>
          <w:szCs w:val="22"/>
        </w:rPr>
        <w:t xml:space="preserve"> godin</w:t>
      </w:r>
      <w:r w:rsidR="00A4410C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>, zatim</w:t>
      </w:r>
      <w:r w:rsidR="00451393" w:rsidRPr="00451393">
        <w:rPr>
          <w:rFonts w:cstheme="minorHAnsi"/>
          <w:sz w:val="22"/>
          <w:szCs w:val="22"/>
        </w:rPr>
        <w:t xml:space="preserve"> rashode za nabavu nefinancijske imovine koji iznose </w:t>
      </w:r>
      <w:r w:rsidR="00A4410C" w:rsidRPr="00A4410C">
        <w:rPr>
          <w:rFonts w:cstheme="minorHAnsi"/>
          <w:sz w:val="22"/>
          <w:szCs w:val="22"/>
        </w:rPr>
        <w:t>53.953,97</w:t>
      </w:r>
      <w:r w:rsidR="00A4410C">
        <w:rPr>
          <w:rFonts w:cstheme="minorHAnsi"/>
          <w:sz w:val="22"/>
          <w:szCs w:val="22"/>
        </w:rPr>
        <w:t xml:space="preserve"> eura</w:t>
      </w:r>
      <w:r w:rsidR="00451393" w:rsidRPr="00451393">
        <w:rPr>
          <w:rFonts w:cstheme="minorHAnsi"/>
          <w:sz w:val="22"/>
          <w:szCs w:val="22"/>
        </w:rPr>
        <w:t xml:space="preserve">, što je </w:t>
      </w:r>
      <w:r w:rsidR="00A4410C">
        <w:rPr>
          <w:rFonts w:cstheme="minorHAnsi"/>
          <w:sz w:val="22"/>
          <w:szCs w:val="22"/>
        </w:rPr>
        <w:t>68,89</w:t>
      </w:r>
      <w:r w:rsidR="00451393" w:rsidRPr="00451393">
        <w:rPr>
          <w:rFonts w:cstheme="minorHAnsi"/>
          <w:sz w:val="22"/>
          <w:szCs w:val="22"/>
        </w:rPr>
        <w:t xml:space="preserve">% </w:t>
      </w:r>
      <w:r w:rsidR="00A4410C">
        <w:rPr>
          <w:rFonts w:cstheme="minorHAnsi"/>
          <w:sz w:val="22"/>
          <w:szCs w:val="22"/>
        </w:rPr>
        <w:t>više</w:t>
      </w:r>
      <w:r w:rsidR="00451393" w:rsidRPr="00451393">
        <w:rPr>
          <w:rFonts w:cstheme="minorHAnsi"/>
          <w:sz w:val="22"/>
          <w:szCs w:val="22"/>
        </w:rPr>
        <w:t xml:space="preserve"> u odnosu na 202</w:t>
      </w:r>
      <w:r w:rsidR="00A4410C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 xml:space="preserve">. godinu, te izdatke za financijsku imovinu i otplatu zajmova u iznosu od </w:t>
      </w:r>
      <w:r w:rsidR="00A4410C" w:rsidRPr="00A4410C">
        <w:rPr>
          <w:rFonts w:cstheme="minorHAnsi"/>
          <w:sz w:val="22"/>
          <w:szCs w:val="22"/>
        </w:rPr>
        <w:t>4.961,24</w:t>
      </w:r>
      <w:r w:rsidR="00A4410C">
        <w:rPr>
          <w:rFonts w:cstheme="minorHAnsi"/>
          <w:sz w:val="22"/>
          <w:szCs w:val="22"/>
        </w:rPr>
        <w:t xml:space="preserve"> eura</w:t>
      </w:r>
      <w:r>
        <w:rPr>
          <w:rFonts w:cstheme="minorHAnsi"/>
          <w:sz w:val="22"/>
          <w:szCs w:val="22"/>
        </w:rPr>
        <w:t xml:space="preserve">, što je u odnosu na prethodnu godinu </w:t>
      </w:r>
      <w:r w:rsidR="00A4410C">
        <w:rPr>
          <w:rFonts w:cstheme="minorHAnsi"/>
          <w:sz w:val="22"/>
          <w:szCs w:val="22"/>
        </w:rPr>
        <w:t>manje</w:t>
      </w:r>
      <w:r>
        <w:rPr>
          <w:rFonts w:cstheme="minorHAnsi"/>
          <w:sz w:val="22"/>
          <w:szCs w:val="22"/>
        </w:rPr>
        <w:t xml:space="preserve"> za </w:t>
      </w:r>
      <w:r w:rsidR="00A4410C">
        <w:rPr>
          <w:rFonts w:cstheme="minorHAnsi"/>
          <w:sz w:val="22"/>
          <w:szCs w:val="22"/>
        </w:rPr>
        <w:t>13,79</w:t>
      </w:r>
      <w:r>
        <w:rPr>
          <w:rFonts w:cstheme="minorHAnsi"/>
          <w:sz w:val="22"/>
          <w:szCs w:val="22"/>
        </w:rPr>
        <w:t>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97"/>
        <w:gridCol w:w="4107"/>
        <w:gridCol w:w="1276"/>
        <w:gridCol w:w="1276"/>
        <w:gridCol w:w="1276"/>
        <w:gridCol w:w="991"/>
        <w:gridCol w:w="822"/>
      </w:tblGrid>
      <w:tr w:rsidR="00A4410C" w:rsidRPr="00A4410C" w14:paraId="4943C971" w14:textId="77777777" w:rsidTr="00DD52B2">
        <w:trPr>
          <w:trHeight w:val="227"/>
        </w:trPr>
        <w:tc>
          <w:tcPr>
            <w:tcW w:w="339" w:type="pct"/>
            <w:gridSpan w:val="2"/>
            <w:tcBorders>
              <w:bottom w:val="nil"/>
            </w:tcBorders>
            <w:shd w:val="clear" w:color="000000" w:fill="C0C0C0"/>
            <w:vAlign w:val="center"/>
            <w:hideMark/>
          </w:tcPr>
          <w:p w14:paraId="0BD06DDA" w14:textId="52B859FA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4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39873F9" w14:textId="0081BA30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0AA5D2CE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10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1694D6EB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0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6705C40B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633ECF8F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bottom w:val="nil"/>
            </w:tcBorders>
            <w:shd w:val="clear" w:color="000000" w:fill="C0C0C0"/>
            <w:vAlign w:val="center"/>
            <w:hideMark/>
          </w:tcPr>
          <w:p w14:paraId="7BAD7A8F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A4410C" w:rsidRPr="00A4410C" w14:paraId="5452A860" w14:textId="77777777" w:rsidTr="00DD52B2">
        <w:trPr>
          <w:trHeight w:val="227"/>
        </w:trPr>
        <w:tc>
          <w:tcPr>
            <w:tcW w:w="339" w:type="pct"/>
            <w:gridSpan w:val="2"/>
            <w:tcBorders>
              <w:top w:val="nil"/>
            </w:tcBorders>
            <w:shd w:val="clear" w:color="000000" w:fill="C0C0C0"/>
            <w:vAlign w:val="center"/>
            <w:hideMark/>
          </w:tcPr>
          <w:p w14:paraId="2F9AAB55" w14:textId="38C00E8B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4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6B1A60CE" w14:textId="5612F054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6E00B765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2C888193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0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0BDF9CD4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1C901BE1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</w:tcBorders>
            <w:shd w:val="clear" w:color="000000" w:fill="C0C0C0"/>
            <w:vAlign w:val="center"/>
            <w:hideMark/>
          </w:tcPr>
          <w:p w14:paraId="5F8A3651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A4410C" w:rsidRPr="00A4410C" w14:paraId="7D53774A" w14:textId="77777777" w:rsidTr="00DD52B2">
        <w:trPr>
          <w:trHeight w:val="227"/>
        </w:trPr>
        <w:tc>
          <w:tcPr>
            <w:tcW w:w="197" w:type="pct"/>
            <w:shd w:val="clear" w:color="000000" w:fill="FFFFFF"/>
            <w:hideMark/>
          </w:tcPr>
          <w:p w14:paraId="02125ABF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06" w:type="pct"/>
            <w:gridSpan w:val="2"/>
            <w:shd w:val="clear" w:color="000000" w:fill="FFFFFF"/>
          </w:tcPr>
          <w:p w14:paraId="15300C22" w14:textId="374B98CC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610" w:type="pct"/>
            <w:shd w:val="clear" w:color="000000" w:fill="FFFFFF"/>
            <w:hideMark/>
          </w:tcPr>
          <w:p w14:paraId="6F4E376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313.288,54</w:t>
            </w:r>
          </w:p>
        </w:tc>
        <w:tc>
          <w:tcPr>
            <w:tcW w:w="610" w:type="pct"/>
            <w:shd w:val="clear" w:color="000000" w:fill="FFFFFF"/>
            <w:hideMark/>
          </w:tcPr>
          <w:p w14:paraId="26B0BDC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569.650,00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656DD7F4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272.246,67</w:t>
            </w:r>
          </w:p>
        </w:tc>
        <w:tc>
          <w:tcPr>
            <w:tcW w:w="474" w:type="pct"/>
            <w:shd w:val="clear" w:color="000000" w:fill="FFFFFF"/>
            <w:hideMark/>
          </w:tcPr>
          <w:p w14:paraId="4202A938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86,90%</w:t>
            </w:r>
          </w:p>
        </w:tc>
        <w:tc>
          <w:tcPr>
            <w:tcW w:w="393" w:type="pct"/>
            <w:shd w:val="clear" w:color="000000" w:fill="FFFFFF"/>
            <w:hideMark/>
          </w:tcPr>
          <w:p w14:paraId="7B22B3A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47,79%</w:t>
            </w:r>
          </w:p>
        </w:tc>
      </w:tr>
      <w:tr w:rsidR="00A4410C" w:rsidRPr="00A4410C" w14:paraId="1E48BD38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06145FE0" w14:textId="7530EFB5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7E5AED72" w14:textId="34B27B94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64" w:type="pct"/>
            <w:shd w:val="clear" w:color="000000" w:fill="FFFFFF"/>
            <w:hideMark/>
          </w:tcPr>
          <w:p w14:paraId="56AECFF1" w14:textId="6C832623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610" w:type="pct"/>
            <w:shd w:val="clear" w:color="000000" w:fill="FFFFFF"/>
            <w:hideMark/>
          </w:tcPr>
          <w:p w14:paraId="0B6C39E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76.537,05</w:t>
            </w:r>
          </w:p>
        </w:tc>
        <w:tc>
          <w:tcPr>
            <w:tcW w:w="610" w:type="pct"/>
            <w:shd w:val="clear" w:color="000000" w:fill="FFFFFF"/>
            <w:hideMark/>
          </w:tcPr>
          <w:p w14:paraId="51F6153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153.350,00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689948C1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82.346,60</w:t>
            </w:r>
          </w:p>
        </w:tc>
        <w:tc>
          <w:tcPr>
            <w:tcW w:w="474" w:type="pct"/>
            <w:shd w:val="clear" w:color="000000" w:fill="FFFFFF"/>
            <w:hideMark/>
          </w:tcPr>
          <w:p w14:paraId="5B89098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107,59%</w:t>
            </w:r>
          </w:p>
        </w:tc>
        <w:tc>
          <w:tcPr>
            <w:tcW w:w="393" w:type="pct"/>
            <w:shd w:val="clear" w:color="000000" w:fill="FFFFFF"/>
            <w:hideMark/>
          </w:tcPr>
          <w:p w14:paraId="333F4BB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53,70%</w:t>
            </w:r>
          </w:p>
        </w:tc>
      </w:tr>
      <w:tr w:rsidR="00A4410C" w:rsidRPr="00A4410C" w14:paraId="73A7C260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678FCBFB" w14:textId="7168E684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12AD5641" w14:textId="3E3BBA94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64" w:type="pct"/>
            <w:shd w:val="clear" w:color="000000" w:fill="FFFFFF"/>
            <w:hideMark/>
          </w:tcPr>
          <w:p w14:paraId="129156B2" w14:textId="01541B70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610" w:type="pct"/>
            <w:shd w:val="clear" w:color="000000" w:fill="FFFFFF"/>
            <w:hideMark/>
          </w:tcPr>
          <w:p w14:paraId="6CB79D7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188.810,06</w:t>
            </w:r>
          </w:p>
        </w:tc>
        <w:tc>
          <w:tcPr>
            <w:tcW w:w="610" w:type="pct"/>
            <w:shd w:val="clear" w:color="000000" w:fill="FFFFFF"/>
            <w:hideMark/>
          </w:tcPr>
          <w:p w14:paraId="5B20BDE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319.750,00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12229234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145.936,13</w:t>
            </w:r>
          </w:p>
        </w:tc>
        <w:tc>
          <w:tcPr>
            <w:tcW w:w="474" w:type="pct"/>
            <w:shd w:val="clear" w:color="000000" w:fill="FFFFFF"/>
            <w:hideMark/>
          </w:tcPr>
          <w:p w14:paraId="534F805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77,29%</w:t>
            </w:r>
          </w:p>
        </w:tc>
        <w:tc>
          <w:tcPr>
            <w:tcW w:w="393" w:type="pct"/>
            <w:shd w:val="clear" w:color="000000" w:fill="FFFFFF"/>
            <w:hideMark/>
          </w:tcPr>
          <w:p w14:paraId="2BFBBDA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45,64%</w:t>
            </w:r>
          </w:p>
        </w:tc>
      </w:tr>
      <w:tr w:rsidR="00A4410C" w:rsidRPr="00A4410C" w14:paraId="4921FFE3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05D8CFBE" w14:textId="60604838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176DD62C" w14:textId="14718321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64" w:type="pct"/>
            <w:shd w:val="clear" w:color="000000" w:fill="FFFFFF"/>
            <w:hideMark/>
          </w:tcPr>
          <w:p w14:paraId="69A67108" w14:textId="1ED2C8CB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610" w:type="pct"/>
            <w:shd w:val="clear" w:color="000000" w:fill="FFFFFF"/>
            <w:hideMark/>
          </w:tcPr>
          <w:p w14:paraId="314B24E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7.354,11</w:t>
            </w:r>
          </w:p>
        </w:tc>
        <w:tc>
          <w:tcPr>
            <w:tcW w:w="610" w:type="pct"/>
            <w:shd w:val="clear" w:color="000000" w:fill="FFFFFF"/>
            <w:hideMark/>
          </w:tcPr>
          <w:p w14:paraId="2AD3D2C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1B4A688D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5.118,09</w:t>
            </w:r>
          </w:p>
        </w:tc>
        <w:tc>
          <w:tcPr>
            <w:tcW w:w="474" w:type="pct"/>
            <w:shd w:val="clear" w:color="000000" w:fill="FFFFFF"/>
            <w:hideMark/>
          </w:tcPr>
          <w:p w14:paraId="1099A28C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69,59%</w:t>
            </w:r>
          </w:p>
        </w:tc>
        <w:tc>
          <w:tcPr>
            <w:tcW w:w="393" w:type="pct"/>
            <w:shd w:val="clear" w:color="000000" w:fill="FFFFFF"/>
            <w:hideMark/>
          </w:tcPr>
          <w:p w14:paraId="70FD869C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31,21%</w:t>
            </w:r>
          </w:p>
        </w:tc>
      </w:tr>
      <w:tr w:rsidR="00A4410C" w:rsidRPr="00A4410C" w14:paraId="375F44A8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386292FD" w14:textId="68BF6655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778192D0" w14:textId="61C047C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64" w:type="pct"/>
            <w:shd w:val="clear" w:color="000000" w:fill="FFFFFF"/>
            <w:hideMark/>
          </w:tcPr>
          <w:p w14:paraId="38ADC07D" w14:textId="6BBE1D93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610" w:type="pct"/>
            <w:shd w:val="clear" w:color="000000" w:fill="FFFFFF"/>
            <w:hideMark/>
          </w:tcPr>
          <w:p w14:paraId="7CBE474F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2AC2A1F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07CCCC7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shd w:val="clear" w:color="000000" w:fill="FFFFFF"/>
            <w:hideMark/>
          </w:tcPr>
          <w:p w14:paraId="56CCA022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14:paraId="03282D5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4410C" w:rsidRPr="00A4410C" w14:paraId="2808E21F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5CD9BEC4" w14:textId="11C5AA7E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7218093A" w14:textId="288E7F60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64" w:type="pct"/>
            <w:shd w:val="clear" w:color="000000" w:fill="FFFFFF"/>
            <w:hideMark/>
          </w:tcPr>
          <w:p w14:paraId="28785EF7" w14:textId="40EA284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610" w:type="pct"/>
            <w:shd w:val="clear" w:color="000000" w:fill="FFFFFF"/>
            <w:hideMark/>
          </w:tcPr>
          <w:p w14:paraId="2CDFE394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4.120,75</w:t>
            </w:r>
          </w:p>
        </w:tc>
        <w:tc>
          <w:tcPr>
            <w:tcW w:w="610" w:type="pct"/>
            <w:shd w:val="clear" w:color="000000" w:fill="FFFFFF"/>
            <w:hideMark/>
          </w:tcPr>
          <w:p w14:paraId="242A60EF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08D5853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4.283,03</w:t>
            </w:r>
          </w:p>
        </w:tc>
        <w:tc>
          <w:tcPr>
            <w:tcW w:w="474" w:type="pct"/>
            <w:shd w:val="clear" w:color="000000" w:fill="FFFFFF"/>
            <w:hideMark/>
          </w:tcPr>
          <w:p w14:paraId="026396E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103,94%</w:t>
            </w:r>
          </w:p>
        </w:tc>
        <w:tc>
          <w:tcPr>
            <w:tcW w:w="393" w:type="pct"/>
            <w:shd w:val="clear" w:color="000000" w:fill="FFFFFF"/>
            <w:hideMark/>
          </w:tcPr>
          <w:p w14:paraId="419FBC5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57,88%</w:t>
            </w:r>
          </w:p>
        </w:tc>
      </w:tr>
      <w:tr w:rsidR="00A4410C" w:rsidRPr="00A4410C" w14:paraId="75C9CB26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77D7968D" w14:textId="672A4E8E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31EB6DF9" w14:textId="7DB956CB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64" w:type="pct"/>
            <w:shd w:val="clear" w:color="000000" w:fill="FFFFFF"/>
            <w:hideMark/>
          </w:tcPr>
          <w:p w14:paraId="24B79084" w14:textId="1F26E351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10" w:type="pct"/>
            <w:shd w:val="clear" w:color="000000" w:fill="FFFFFF"/>
            <w:hideMark/>
          </w:tcPr>
          <w:p w14:paraId="312FE40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12.443,74</w:t>
            </w:r>
          </w:p>
        </w:tc>
        <w:tc>
          <w:tcPr>
            <w:tcW w:w="610" w:type="pct"/>
            <w:shd w:val="clear" w:color="000000" w:fill="FFFFFF"/>
            <w:hideMark/>
          </w:tcPr>
          <w:p w14:paraId="154AE238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26.300,00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74D5286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10.750,82</w:t>
            </w:r>
          </w:p>
        </w:tc>
        <w:tc>
          <w:tcPr>
            <w:tcW w:w="474" w:type="pct"/>
            <w:shd w:val="clear" w:color="000000" w:fill="FFFFFF"/>
            <w:hideMark/>
          </w:tcPr>
          <w:p w14:paraId="307AE74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86,40%</w:t>
            </w:r>
          </w:p>
        </w:tc>
        <w:tc>
          <w:tcPr>
            <w:tcW w:w="393" w:type="pct"/>
            <w:shd w:val="clear" w:color="000000" w:fill="FFFFFF"/>
            <w:hideMark/>
          </w:tcPr>
          <w:p w14:paraId="76069688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40,88%</w:t>
            </w:r>
          </w:p>
        </w:tc>
      </w:tr>
      <w:tr w:rsidR="00A4410C" w:rsidRPr="00A4410C" w14:paraId="0E0B10BB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598378CC" w14:textId="5D1492EC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402A4B73" w14:textId="4A43B08B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64" w:type="pct"/>
            <w:shd w:val="clear" w:color="000000" w:fill="FFFFFF"/>
            <w:hideMark/>
          </w:tcPr>
          <w:p w14:paraId="23BE1E07" w14:textId="2FE6B13D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610" w:type="pct"/>
            <w:shd w:val="clear" w:color="000000" w:fill="FFFFFF"/>
            <w:hideMark/>
          </w:tcPr>
          <w:p w14:paraId="4F92A5F1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24.022,83</w:t>
            </w:r>
          </w:p>
        </w:tc>
        <w:tc>
          <w:tcPr>
            <w:tcW w:w="610" w:type="pct"/>
            <w:shd w:val="clear" w:color="000000" w:fill="FFFFFF"/>
            <w:hideMark/>
          </w:tcPr>
          <w:p w14:paraId="47F4FF9E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40.450,00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1CFF2DE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23.812,00</w:t>
            </w:r>
          </w:p>
        </w:tc>
        <w:tc>
          <w:tcPr>
            <w:tcW w:w="474" w:type="pct"/>
            <w:shd w:val="clear" w:color="000000" w:fill="FFFFFF"/>
            <w:hideMark/>
          </w:tcPr>
          <w:p w14:paraId="0491118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99,12%</w:t>
            </w:r>
          </w:p>
        </w:tc>
        <w:tc>
          <w:tcPr>
            <w:tcW w:w="393" w:type="pct"/>
            <w:shd w:val="clear" w:color="000000" w:fill="FFFFFF"/>
            <w:hideMark/>
          </w:tcPr>
          <w:p w14:paraId="4C59046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58,87%</w:t>
            </w:r>
          </w:p>
        </w:tc>
      </w:tr>
      <w:tr w:rsidR="00A4410C" w:rsidRPr="00A4410C" w14:paraId="23F9C5EB" w14:textId="77777777" w:rsidTr="00DD52B2">
        <w:trPr>
          <w:trHeight w:val="227"/>
        </w:trPr>
        <w:tc>
          <w:tcPr>
            <w:tcW w:w="197" w:type="pct"/>
            <w:shd w:val="clear" w:color="000000" w:fill="FFFFFF"/>
            <w:hideMark/>
          </w:tcPr>
          <w:p w14:paraId="598D8E94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106" w:type="pct"/>
            <w:gridSpan w:val="2"/>
            <w:shd w:val="clear" w:color="000000" w:fill="FFFFFF"/>
          </w:tcPr>
          <w:p w14:paraId="26A3A9E5" w14:textId="0AE1D02E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610" w:type="pct"/>
            <w:shd w:val="clear" w:color="000000" w:fill="FFFFFF"/>
            <w:hideMark/>
          </w:tcPr>
          <w:p w14:paraId="6FB97FC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31.946,19</w:t>
            </w:r>
          </w:p>
        </w:tc>
        <w:tc>
          <w:tcPr>
            <w:tcW w:w="610" w:type="pct"/>
            <w:shd w:val="clear" w:color="000000" w:fill="FFFFFF"/>
            <w:hideMark/>
          </w:tcPr>
          <w:p w14:paraId="3A6790A4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1.084.750,00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3224C8F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53.953,97</w:t>
            </w:r>
          </w:p>
        </w:tc>
        <w:tc>
          <w:tcPr>
            <w:tcW w:w="474" w:type="pct"/>
            <w:shd w:val="clear" w:color="000000" w:fill="FFFFFF"/>
            <w:hideMark/>
          </w:tcPr>
          <w:p w14:paraId="483E2FA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168,89%</w:t>
            </w:r>
          </w:p>
        </w:tc>
        <w:tc>
          <w:tcPr>
            <w:tcW w:w="393" w:type="pct"/>
            <w:shd w:val="clear" w:color="000000" w:fill="FFFFFF"/>
            <w:hideMark/>
          </w:tcPr>
          <w:p w14:paraId="14B5F80D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4,97%</w:t>
            </w:r>
          </w:p>
        </w:tc>
      </w:tr>
      <w:tr w:rsidR="00A4410C" w:rsidRPr="00A4410C" w14:paraId="60B1DFAC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402A8EE1" w14:textId="50D7AE3F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0ECD9611" w14:textId="2C0C6571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64" w:type="pct"/>
            <w:shd w:val="clear" w:color="000000" w:fill="FFFFFF"/>
            <w:hideMark/>
          </w:tcPr>
          <w:p w14:paraId="3BB824A8" w14:textId="066293D2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610" w:type="pct"/>
            <w:shd w:val="clear" w:color="000000" w:fill="FFFFFF"/>
            <w:hideMark/>
          </w:tcPr>
          <w:p w14:paraId="22630F7C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1.240,96</w:t>
            </w:r>
          </w:p>
        </w:tc>
        <w:tc>
          <w:tcPr>
            <w:tcW w:w="610" w:type="pct"/>
            <w:shd w:val="clear" w:color="000000" w:fill="FFFFFF"/>
            <w:hideMark/>
          </w:tcPr>
          <w:p w14:paraId="4D55C25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6E0D699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6.100,49</w:t>
            </w:r>
          </w:p>
        </w:tc>
        <w:tc>
          <w:tcPr>
            <w:tcW w:w="474" w:type="pct"/>
            <w:shd w:val="clear" w:color="000000" w:fill="FFFFFF"/>
            <w:hideMark/>
          </w:tcPr>
          <w:p w14:paraId="13985B23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491,59%</w:t>
            </w:r>
          </w:p>
        </w:tc>
        <w:tc>
          <w:tcPr>
            <w:tcW w:w="393" w:type="pct"/>
            <w:shd w:val="clear" w:color="000000" w:fill="FFFFFF"/>
            <w:hideMark/>
          </w:tcPr>
          <w:p w14:paraId="56ED17A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27,11%</w:t>
            </w:r>
          </w:p>
        </w:tc>
      </w:tr>
      <w:tr w:rsidR="00A4410C" w:rsidRPr="00A4410C" w14:paraId="27420A1E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22DEC08C" w14:textId="7D447EED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02EDAFF5" w14:textId="729C7252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64" w:type="pct"/>
            <w:shd w:val="clear" w:color="000000" w:fill="FFFFFF"/>
            <w:hideMark/>
          </w:tcPr>
          <w:p w14:paraId="568D8663" w14:textId="0002B530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610" w:type="pct"/>
            <w:shd w:val="clear" w:color="000000" w:fill="FFFFFF"/>
            <w:hideMark/>
          </w:tcPr>
          <w:p w14:paraId="0E69616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25.637,01</w:t>
            </w:r>
          </w:p>
        </w:tc>
        <w:tc>
          <w:tcPr>
            <w:tcW w:w="610" w:type="pct"/>
            <w:shd w:val="clear" w:color="000000" w:fill="FFFFFF"/>
            <w:hideMark/>
          </w:tcPr>
          <w:p w14:paraId="7BCA734C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1.021.350,00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20B6245F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25.296,06</w:t>
            </w:r>
          </w:p>
        </w:tc>
        <w:tc>
          <w:tcPr>
            <w:tcW w:w="474" w:type="pct"/>
            <w:shd w:val="clear" w:color="000000" w:fill="FFFFFF"/>
            <w:hideMark/>
          </w:tcPr>
          <w:p w14:paraId="069E0A6F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98,67%</w:t>
            </w:r>
          </w:p>
        </w:tc>
        <w:tc>
          <w:tcPr>
            <w:tcW w:w="393" w:type="pct"/>
            <w:shd w:val="clear" w:color="000000" w:fill="FFFFFF"/>
            <w:hideMark/>
          </w:tcPr>
          <w:p w14:paraId="7803077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2,48%</w:t>
            </w:r>
          </w:p>
        </w:tc>
      </w:tr>
      <w:tr w:rsidR="00A4410C" w:rsidRPr="00A4410C" w14:paraId="40C3A80F" w14:textId="77777777" w:rsidTr="00DD52B2">
        <w:trPr>
          <w:trHeight w:val="227"/>
        </w:trPr>
        <w:tc>
          <w:tcPr>
            <w:tcW w:w="197" w:type="pct"/>
            <w:shd w:val="clear" w:color="000000" w:fill="FFFFFF"/>
          </w:tcPr>
          <w:p w14:paraId="2B8AE90E" w14:textId="47C63459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2A5B0EC9" w14:textId="76DA9E8F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64" w:type="pct"/>
            <w:shd w:val="clear" w:color="000000" w:fill="FFFFFF"/>
            <w:hideMark/>
          </w:tcPr>
          <w:p w14:paraId="0B1B94DB" w14:textId="73840259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610" w:type="pct"/>
            <w:shd w:val="clear" w:color="000000" w:fill="FFFFFF"/>
            <w:hideMark/>
          </w:tcPr>
          <w:p w14:paraId="3C2A5613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5.068,22</w:t>
            </w:r>
          </w:p>
        </w:tc>
        <w:tc>
          <w:tcPr>
            <w:tcW w:w="610" w:type="pct"/>
            <w:shd w:val="clear" w:color="000000" w:fill="FFFFFF"/>
            <w:hideMark/>
          </w:tcPr>
          <w:p w14:paraId="3F34D97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40.900,00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698682E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22.557,42</w:t>
            </w:r>
          </w:p>
        </w:tc>
        <w:tc>
          <w:tcPr>
            <w:tcW w:w="474" w:type="pct"/>
            <w:shd w:val="clear" w:color="000000" w:fill="FFFFFF"/>
            <w:hideMark/>
          </w:tcPr>
          <w:p w14:paraId="6859340E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445,08%</w:t>
            </w:r>
          </w:p>
        </w:tc>
        <w:tc>
          <w:tcPr>
            <w:tcW w:w="393" w:type="pct"/>
            <w:shd w:val="clear" w:color="000000" w:fill="FFFFFF"/>
            <w:hideMark/>
          </w:tcPr>
          <w:p w14:paraId="412EF04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55,15%</w:t>
            </w:r>
          </w:p>
        </w:tc>
      </w:tr>
      <w:tr w:rsidR="00A4410C" w:rsidRPr="00A4410C" w14:paraId="4B0360FA" w14:textId="77777777" w:rsidTr="00DD52B2">
        <w:trPr>
          <w:trHeight w:val="227"/>
        </w:trPr>
        <w:tc>
          <w:tcPr>
            <w:tcW w:w="197" w:type="pct"/>
            <w:shd w:val="clear" w:color="000000" w:fill="FFFFFF"/>
            <w:hideMark/>
          </w:tcPr>
          <w:p w14:paraId="2D131500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106" w:type="pct"/>
            <w:gridSpan w:val="2"/>
            <w:shd w:val="clear" w:color="000000" w:fill="FFFFFF"/>
          </w:tcPr>
          <w:p w14:paraId="50197AC3" w14:textId="4D257985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610" w:type="pct"/>
            <w:shd w:val="clear" w:color="000000" w:fill="FFFFFF"/>
            <w:hideMark/>
          </w:tcPr>
          <w:p w14:paraId="7C877BE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5.754,56</w:t>
            </w:r>
          </w:p>
        </w:tc>
        <w:tc>
          <w:tcPr>
            <w:tcW w:w="610" w:type="pct"/>
            <w:shd w:val="clear" w:color="000000" w:fill="FFFFFF"/>
            <w:hideMark/>
          </w:tcPr>
          <w:p w14:paraId="74A950C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138.100,00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1E8D499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474" w:type="pct"/>
            <w:shd w:val="clear" w:color="000000" w:fill="FFFFFF"/>
            <w:hideMark/>
          </w:tcPr>
          <w:p w14:paraId="2D4D41EF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86,21%</w:t>
            </w:r>
          </w:p>
        </w:tc>
        <w:tc>
          <w:tcPr>
            <w:tcW w:w="393" w:type="pct"/>
            <w:shd w:val="clear" w:color="000000" w:fill="FFFFFF"/>
            <w:hideMark/>
          </w:tcPr>
          <w:p w14:paraId="07E72F04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3,59%</w:t>
            </w:r>
          </w:p>
        </w:tc>
      </w:tr>
      <w:tr w:rsidR="00A4410C" w:rsidRPr="00A4410C" w14:paraId="022F2904" w14:textId="77777777" w:rsidTr="00DD52B2">
        <w:trPr>
          <w:trHeight w:val="227"/>
        </w:trPr>
        <w:tc>
          <w:tcPr>
            <w:tcW w:w="197" w:type="pct"/>
            <w:shd w:val="clear" w:color="000000" w:fill="FFFFFF"/>
            <w:hideMark/>
          </w:tcPr>
          <w:p w14:paraId="5BAC3D52" w14:textId="3AC5DADC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shd w:val="clear" w:color="000000" w:fill="FFFFFF"/>
          </w:tcPr>
          <w:p w14:paraId="75B79EED" w14:textId="5369EC15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964" w:type="pct"/>
            <w:shd w:val="clear" w:color="000000" w:fill="FFFFFF"/>
            <w:hideMark/>
          </w:tcPr>
          <w:p w14:paraId="79B95F35" w14:textId="2BE7C685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610" w:type="pct"/>
            <w:shd w:val="clear" w:color="000000" w:fill="FFFFFF"/>
            <w:hideMark/>
          </w:tcPr>
          <w:p w14:paraId="57866E1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5.754,56</w:t>
            </w:r>
          </w:p>
        </w:tc>
        <w:tc>
          <w:tcPr>
            <w:tcW w:w="610" w:type="pct"/>
            <w:shd w:val="clear" w:color="000000" w:fill="FFFFFF"/>
            <w:hideMark/>
          </w:tcPr>
          <w:p w14:paraId="5B3A2951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138.100,00</w:t>
            </w:r>
          </w:p>
        </w:tc>
        <w:tc>
          <w:tcPr>
            <w:tcW w:w="610" w:type="pct"/>
            <w:shd w:val="clear" w:color="000000" w:fill="FFFFFF"/>
            <w:hideMark/>
          </w:tcPr>
          <w:p w14:paraId="614FF4C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474" w:type="pct"/>
            <w:shd w:val="clear" w:color="000000" w:fill="FFFFFF"/>
            <w:hideMark/>
          </w:tcPr>
          <w:p w14:paraId="536E1C6E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86,21%</w:t>
            </w:r>
          </w:p>
        </w:tc>
        <w:tc>
          <w:tcPr>
            <w:tcW w:w="393" w:type="pct"/>
            <w:shd w:val="clear" w:color="000000" w:fill="FFFFFF"/>
            <w:hideMark/>
          </w:tcPr>
          <w:p w14:paraId="4245934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3,59%</w:t>
            </w:r>
          </w:p>
        </w:tc>
      </w:tr>
      <w:tr w:rsidR="00A4410C" w:rsidRPr="00A4410C" w14:paraId="45A52EB6" w14:textId="77777777" w:rsidTr="00DD52B2">
        <w:trPr>
          <w:trHeight w:val="227"/>
        </w:trPr>
        <w:tc>
          <w:tcPr>
            <w:tcW w:w="197" w:type="pct"/>
            <w:shd w:val="clear" w:color="000000" w:fill="C0C0C0"/>
            <w:hideMark/>
          </w:tcPr>
          <w:p w14:paraId="6645305A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" w:type="pct"/>
            <w:shd w:val="clear" w:color="000000" w:fill="C0C0C0"/>
          </w:tcPr>
          <w:p w14:paraId="0B21E02E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64" w:type="pct"/>
            <w:shd w:val="clear" w:color="000000" w:fill="C0C0C0"/>
            <w:hideMark/>
          </w:tcPr>
          <w:p w14:paraId="075CEBDB" w14:textId="2058D64C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 ( 3 + 4 + 5 )</w:t>
            </w:r>
          </w:p>
        </w:tc>
        <w:tc>
          <w:tcPr>
            <w:tcW w:w="610" w:type="pct"/>
            <w:shd w:val="clear" w:color="000000" w:fill="C0C0C0"/>
            <w:hideMark/>
          </w:tcPr>
          <w:p w14:paraId="12D0DE0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350.989,29</w:t>
            </w:r>
          </w:p>
        </w:tc>
        <w:tc>
          <w:tcPr>
            <w:tcW w:w="610" w:type="pct"/>
            <w:shd w:val="clear" w:color="000000" w:fill="C0C0C0"/>
            <w:hideMark/>
          </w:tcPr>
          <w:p w14:paraId="71E3094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1.792.500,00</w:t>
            </w:r>
          </w:p>
        </w:tc>
        <w:tc>
          <w:tcPr>
            <w:tcW w:w="610" w:type="pct"/>
            <w:shd w:val="clear" w:color="000000" w:fill="C0C0C0"/>
            <w:hideMark/>
          </w:tcPr>
          <w:p w14:paraId="2DE825B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331.161,88</w:t>
            </w:r>
          </w:p>
        </w:tc>
        <w:tc>
          <w:tcPr>
            <w:tcW w:w="474" w:type="pct"/>
            <w:shd w:val="clear" w:color="000000" w:fill="C0C0C0"/>
            <w:hideMark/>
          </w:tcPr>
          <w:p w14:paraId="3DFAA7A1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94,35%</w:t>
            </w:r>
          </w:p>
        </w:tc>
        <w:tc>
          <w:tcPr>
            <w:tcW w:w="393" w:type="pct"/>
            <w:shd w:val="clear" w:color="000000" w:fill="C0C0C0"/>
            <w:hideMark/>
          </w:tcPr>
          <w:p w14:paraId="53FDAB6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18,47%</w:t>
            </w:r>
          </w:p>
        </w:tc>
      </w:tr>
    </w:tbl>
    <w:p w14:paraId="2AE5D089" w14:textId="77777777" w:rsidR="00A4410C" w:rsidRDefault="00A4410C" w:rsidP="00451393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F4BBC2D" w14:textId="4B7410F2" w:rsidR="00780673" w:rsidRPr="002324AF" w:rsidRDefault="002324AF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4" w:name="_Toc144891692"/>
      <w:r w:rsidRPr="002324AF">
        <w:rPr>
          <w:b/>
          <w:caps w:val="0"/>
          <w:sz w:val="22"/>
        </w:rPr>
        <w:t>Rashodi za zaposlene</w:t>
      </w:r>
      <w:bookmarkEnd w:id="14"/>
    </w:p>
    <w:p w14:paraId="2E4061FE" w14:textId="585E8128" w:rsidR="005B60B0" w:rsidRDefault="0040724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zaposlene realizirani su u visini od </w:t>
      </w:r>
      <w:r w:rsidR="00DD52B2" w:rsidRPr="00DD52B2">
        <w:rPr>
          <w:rFonts w:cstheme="minorHAnsi"/>
          <w:sz w:val="22"/>
          <w:szCs w:val="22"/>
        </w:rPr>
        <w:t>82.346,60</w:t>
      </w:r>
      <w:r w:rsidR="00DD52B2">
        <w:rPr>
          <w:rFonts w:cstheme="minorHAnsi"/>
          <w:sz w:val="22"/>
          <w:szCs w:val="22"/>
        </w:rPr>
        <w:t xml:space="preserve"> eura</w:t>
      </w:r>
      <w:r w:rsidR="00D43500" w:rsidRPr="00000576">
        <w:rPr>
          <w:rFonts w:cstheme="minorHAnsi"/>
          <w:sz w:val="22"/>
          <w:szCs w:val="22"/>
        </w:rPr>
        <w:t>, a</w:t>
      </w:r>
      <w:r w:rsidRPr="00000576">
        <w:rPr>
          <w:rFonts w:cstheme="minorHAnsi"/>
          <w:sz w:val="22"/>
          <w:szCs w:val="22"/>
        </w:rPr>
        <w:t xml:space="preserve"> </w:t>
      </w:r>
      <w:r w:rsidR="00D43500" w:rsidRPr="00000576">
        <w:rPr>
          <w:rFonts w:cstheme="minorHAnsi"/>
          <w:sz w:val="22"/>
          <w:szCs w:val="22"/>
        </w:rPr>
        <w:t>o</w:t>
      </w:r>
      <w:r w:rsidRPr="00000576">
        <w:rPr>
          <w:rFonts w:cstheme="minorHAnsi"/>
          <w:sz w:val="22"/>
          <w:szCs w:val="22"/>
        </w:rPr>
        <w:t xml:space="preserve">buhvaćaju rashode za bruto plaće, za doprinose na plaće te ostale rashode za zaposlene u tijelima </w:t>
      </w:r>
      <w:r w:rsidR="00D43500" w:rsidRPr="00000576">
        <w:rPr>
          <w:rFonts w:cstheme="minorHAnsi"/>
          <w:sz w:val="22"/>
          <w:szCs w:val="22"/>
        </w:rPr>
        <w:t>Općine Levanjska Varoš.</w:t>
      </w:r>
      <w:r w:rsidR="00434207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7"/>
        <w:gridCol w:w="1278"/>
        <w:gridCol w:w="1276"/>
        <w:gridCol w:w="1276"/>
        <w:gridCol w:w="991"/>
        <w:gridCol w:w="822"/>
      </w:tblGrid>
      <w:tr w:rsidR="00DD52B2" w:rsidRPr="00A4410C" w14:paraId="0901EF78" w14:textId="77777777" w:rsidTr="00DD52B2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C0C0C0"/>
            <w:vAlign w:val="center"/>
            <w:hideMark/>
          </w:tcPr>
          <w:p w14:paraId="46C206B3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59" w:type="pct"/>
            <w:tcBorders>
              <w:top w:val="single" w:sz="4" w:space="0" w:color="auto"/>
              <w:bottom w:val="nil"/>
            </w:tcBorders>
            <w:shd w:val="clear" w:color="000000" w:fill="C0C0C0"/>
            <w:vAlign w:val="center"/>
            <w:hideMark/>
          </w:tcPr>
          <w:p w14:paraId="1C87EE0D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000000" w:fill="C0C0C0"/>
            <w:vAlign w:val="center"/>
            <w:hideMark/>
          </w:tcPr>
          <w:p w14:paraId="25C42737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10" w:type="pct"/>
            <w:tcBorders>
              <w:top w:val="single" w:sz="4" w:space="0" w:color="auto"/>
              <w:bottom w:val="nil"/>
            </w:tcBorders>
            <w:shd w:val="clear" w:color="000000" w:fill="C0C0C0"/>
            <w:vAlign w:val="center"/>
            <w:hideMark/>
          </w:tcPr>
          <w:p w14:paraId="71212F30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0" w:type="pct"/>
            <w:tcBorders>
              <w:top w:val="single" w:sz="4" w:space="0" w:color="auto"/>
              <w:bottom w:val="nil"/>
            </w:tcBorders>
            <w:shd w:val="clear" w:color="000000" w:fill="C0C0C0"/>
            <w:vAlign w:val="center"/>
            <w:hideMark/>
          </w:tcPr>
          <w:p w14:paraId="211C25D9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bottom w:val="nil"/>
            </w:tcBorders>
            <w:shd w:val="clear" w:color="000000" w:fill="C0C0C0"/>
            <w:vAlign w:val="center"/>
            <w:hideMark/>
          </w:tcPr>
          <w:p w14:paraId="4FE4AE67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038494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DD52B2" w:rsidRPr="00A4410C" w14:paraId="17AE5DA9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2A4C8FEF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563A8649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1E3E7CC8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5E45CB76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369B60A9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C0C0C0"/>
            <w:vAlign w:val="center"/>
            <w:hideMark/>
          </w:tcPr>
          <w:p w14:paraId="01D7F15D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533894" w14:textId="77777777" w:rsidR="00A4410C" w:rsidRPr="00A4410C" w:rsidRDefault="00A4410C" w:rsidP="00A4410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DD52B2" w:rsidRPr="00A4410C" w14:paraId="1ED6C3D6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174BE959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643C3B6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0B808C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76.537,05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F3607E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153.350,00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6D9C63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82.346,60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B96122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107,59%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2F5A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53,70%</w:t>
            </w:r>
          </w:p>
        </w:tc>
      </w:tr>
      <w:tr w:rsidR="00DD52B2" w:rsidRPr="00A4410C" w14:paraId="15F2E63F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023BD1D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61AC93D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CA722D8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65.241,37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2F091B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122.750,00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212B36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69.482,07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27970C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106,50%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84D8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56,60%</w:t>
            </w:r>
          </w:p>
        </w:tc>
      </w:tr>
      <w:tr w:rsidR="00DD52B2" w:rsidRPr="00A4410C" w14:paraId="2AF020B8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2277CD30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9077D28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F5955C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65.241,37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13B8803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122.750,00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3DD85B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69.482,07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45FF19C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106,50%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4C61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56,60%</w:t>
            </w:r>
          </w:p>
        </w:tc>
      </w:tr>
      <w:tr w:rsidR="00DD52B2" w:rsidRPr="00A4410C" w14:paraId="0E3A5A9C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59240DCE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732854E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830E9A3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530,88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77FE61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10.100,00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0A9B11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8FC229D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263,71%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B7A6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13,86%</w:t>
            </w:r>
          </w:p>
        </w:tc>
      </w:tr>
      <w:tr w:rsidR="00DD52B2" w:rsidRPr="00A4410C" w14:paraId="6A400EBF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6FB2DD86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3BE94921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FA73CBE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530,88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DD24959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10.100,00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754ACC8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6753925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263,71%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DF4AA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13,86%</w:t>
            </w:r>
          </w:p>
        </w:tc>
      </w:tr>
      <w:tr w:rsidR="00DD52B2" w:rsidRPr="00A4410C" w14:paraId="3C80F32D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682B24B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EFEB938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D14683F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10.764,80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32EFF6A1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3AD54BBD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11.464,53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3C775EB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106,50%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6D3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55,92%</w:t>
            </w:r>
          </w:p>
        </w:tc>
      </w:tr>
      <w:tr w:rsidR="00DD52B2" w:rsidRPr="00A4410C" w14:paraId="715A3630" w14:textId="77777777" w:rsidTr="00DD52B2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9FDE149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195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BB8827D" w14:textId="77777777" w:rsidR="00A4410C" w:rsidRPr="00A4410C" w:rsidRDefault="00A4410C" w:rsidP="00A4410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072CE80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10.764,80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F68DD3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4FB6337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11.464,53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B1A25D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106,50%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D842" w14:textId="77777777" w:rsidR="00A4410C" w:rsidRPr="00A4410C" w:rsidRDefault="00A4410C" w:rsidP="00A4410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441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55,92%</w:t>
            </w:r>
          </w:p>
        </w:tc>
      </w:tr>
    </w:tbl>
    <w:p w14:paraId="5BBD6916" w14:textId="79598EC0" w:rsidR="00F45183" w:rsidRDefault="00F45183" w:rsidP="005E566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Rashodi za zaposlene su </w:t>
      </w:r>
      <w:r w:rsidR="00DD52B2">
        <w:rPr>
          <w:rFonts w:cstheme="minorHAnsi"/>
          <w:sz w:val="22"/>
          <w:szCs w:val="22"/>
        </w:rPr>
        <w:t xml:space="preserve">povećani </w:t>
      </w:r>
      <w:r>
        <w:rPr>
          <w:rFonts w:cstheme="minorHAnsi"/>
          <w:sz w:val="22"/>
          <w:szCs w:val="22"/>
        </w:rPr>
        <w:t xml:space="preserve">za </w:t>
      </w:r>
      <w:r w:rsidR="00DD52B2">
        <w:rPr>
          <w:rFonts w:cstheme="minorHAnsi"/>
          <w:sz w:val="22"/>
          <w:szCs w:val="22"/>
        </w:rPr>
        <w:t>7,59</w:t>
      </w:r>
      <w:r>
        <w:rPr>
          <w:rFonts w:cstheme="minorHAnsi"/>
          <w:sz w:val="22"/>
          <w:szCs w:val="22"/>
        </w:rPr>
        <w:t>% u odnosu na prethodn</w:t>
      </w:r>
      <w:r w:rsidR="004A2D96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 xml:space="preserve"> godin</w:t>
      </w:r>
      <w:r w:rsidR="004A2D96">
        <w:rPr>
          <w:rFonts w:cstheme="minorHAnsi"/>
          <w:sz w:val="22"/>
          <w:szCs w:val="22"/>
        </w:rPr>
        <w:t>u</w:t>
      </w:r>
      <w:r w:rsidR="00E31984">
        <w:rPr>
          <w:rFonts w:cstheme="minorHAnsi"/>
          <w:sz w:val="22"/>
          <w:szCs w:val="22"/>
        </w:rPr>
        <w:t xml:space="preserve"> jer </w:t>
      </w:r>
      <w:r w:rsidR="00DD52B2">
        <w:rPr>
          <w:rFonts w:cstheme="minorHAnsi"/>
          <w:sz w:val="22"/>
          <w:szCs w:val="22"/>
        </w:rPr>
        <w:t>su povećane plaće za službenike</w:t>
      </w:r>
      <w:r w:rsidR="00DF3B1A">
        <w:rPr>
          <w:rFonts w:cstheme="minorHAnsi"/>
          <w:sz w:val="22"/>
          <w:szCs w:val="22"/>
        </w:rPr>
        <w:t xml:space="preserve"> zbog rasta životnih troškova i povećanja minimalne plaće.</w:t>
      </w:r>
    </w:p>
    <w:p w14:paraId="29B0BBF4" w14:textId="444C76FB" w:rsidR="00D43500" w:rsidRPr="00000576" w:rsidRDefault="00DA590B" w:rsidP="00F45183">
      <w:pPr>
        <w:spacing w:before="0" w:after="0" w:line="240" w:lineRule="auto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</w:t>
      </w:r>
      <w:r w:rsidR="00D43500" w:rsidRPr="00000576">
        <w:rPr>
          <w:rFonts w:cstheme="minorHAnsi"/>
          <w:sz w:val="22"/>
          <w:szCs w:val="22"/>
        </w:rPr>
        <w:t xml:space="preserve">laće za zaposlene u iznosu od </w:t>
      </w:r>
      <w:r w:rsidR="00DF3B1A" w:rsidRPr="00DF3B1A">
        <w:rPr>
          <w:rFonts w:cstheme="minorHAnsi"/>
          <w:sz w:val="22"/>
          <w:szCs w:val="22"/>
        </w:rPr>
        <w:t>69.482,07</w:t>
      </w:r>
      <w:r w:rsidR="00DF3B1A">
        <w:rPr>
          <w:rFonts w:cstheme="minorHAnsi"/>
          <w:sz w:val="22"/>
          <w:szCs w:val="22"/>
        </w:rPr>
        <w:t xml:space="preserve"> eura</w:t>
      </w:r>
      <w:r w:rsidR="00D43500" w:rsidRPr="00000576">
        <w:rPr>
          <w:rFonts w:cstheme="minorHAnsi"/>
          <w:sz w:val="22"/>
          <w:szCs w:val="22"/>
        </w:rPr>
        <w:t xml:space="preserve"> mogu </w:t>
      </w:r>
      <w:r w:rsidR="00DF3B1A">
        <w:rPr>
          <w:rFonts w:cstheme="minorHAnsi"/>
          <w:sz w:val="22"/>
          <w:szCs w:val="22"/>
        </w:rPr>
        <w:t xml:space="preserve">se </w:t>
      </w:r>
      <w:r w:rsidR="00434207" w:rsidRPr="00000576">
        <w:rPr>
          <w:rFonts w:cstheme="minorHAnsi"/>
          <w:sz w:val="22"/>
          <w:szCs w:val="22"/>
        </w:rPr>
        <w:t>raščlaniti</w:t>
      </w:r>
      <w:r w:rsidR="00D43500" w:rsidRPr="00000576">
        <w:rPr>
          <w:rFonts w:cstheme="minorHAnsi"/>
          <w:sz w:val="22"/>
          <w:szCs w:val="22"/>
        </w:rPr>
        <w:t xml:space="preserve"> na:</w:t>
      </w:r>
    </w:p>
    <w:p w14:paraId="32D5EFC5" w14:textId="24909478" w:rsidR="004A2D96" w:rsidRDefault="004A2D96" w:rsidP="004A2D96">
      <w:pPr>
        <w:pStyle w:val="ListParagraph"/>
        <w:numPr>
          <w:ilvl w:val="0"/>
          <w:numId w:val="2"/>
        </w:numPr>
        <w:tabs>
          <w:tab w:val="right" w:leader="dot" w:pos="1046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Plaće dužnosnika</w:t>
      </w:r>
      <w:r>
        <w:rPr>
          <w:rFonts w:cstheme="minorHAnsi"/>
          <w:sz w:val="22"/>
          <w:szCs w:val="22"/>
        </w:rPr>
        <w:tab/>
      </w:r>
      <w:r w:rsidR="00DF3B1A">
        <w:rPr>
          <w:rFonts w:cstheme="minorHAnsi"/>
          <w:sz w:val="22"/>
          <w:szCs w:val="22"/>
        </w:rPr>
        <w:t>8.995,38</w:t>
      </w:r>
    </w:p>
    <w:p w14:paraId="7C275AE6" w14:textId="12F5AF22" w:rsidR="00D43500" w:rsidRPr="005B60B0" w:rsidRDefault="00D43500" w:rsidP="004A2D96">
      <w:pPr>
        <w:pStyle w:val="ListParagraph"/>
        <w:numPr>
          <w:ilvl w:val="0"/>
          <w:numId w:val="2"/>
        </w:numPr>
        <w:tabs>
          <w:tab w:val="right" w:leader="dot" w:pos="1046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 w:rsidRPr="005B60B0">
        <w:rPr>
          <w:rFonts w:cstheme="minorHAnsi"/>
          <w:sz w:val="22"/>
          <w:szCs w:val="22"/>
        </w:rPr>
        <w:t xml:space="preserve">Plaće za zaposlene u </w:t>
      </w:r>
      <w:r w:rsidR="00DF3B1A">
        <w:rPr>
          <w:rFonts w:cstheme="minorHAnsi"/>
          <w:sz w:val="22"/>
          <w:szCs w:val="22"/>
        </w:rPr>
        <w:t>upravnim tijelima</w:t>
      </w:r>
      <w:r w:rsidRPr="005B60B0">
        <w:rPr>
          <w:rFonts w:cstheme="minorHAnsi"/>
          <w:sz w:val="22"/>
          <w:szCs w:val="22"/>
        </w:rPr>
        <w:tab/>
      </w:r>
      <w:r w:rsidR="00DF3B1A">
        <w:rPr>
          <w:rFonts w:cstheme="minorHAnsi"/>
          <w:sz w:val="22"/>
          <w:szCs w:val="22"/>
        </w:rPr>
        <w:t>25.527,77</w:t>
      </w:r>
    </w:p>
    <w:p w14:paraId="0CD732E7" w14:textId="75DA74EB" w:rsidR="00434207" w:rsidRPr="005B60B0" w:rsidRDefault="00434207" w:rsidP="00DF3B1A">
      <w:pPr>
        <w:pStyle w:val="ListParagraph"/>
        <w:numPr>
          <w:ilvl w:val="0"/>
          <w:numId w:val="2"/>
        </w:numPr>
        <w:tabs>
          <w:tab w:val="right" w:leader="dot" w:pos="10466"/>
        </w:tabs>
        <w:spacing w:before="0" w:after="120" w:line="240" w:lineRule="auto"/>
        <w:contextualSpacing w:val="0"/>
        <w:rPr>
          <w:rFonts w:cstheme="minorHAnsi"/>
          <w:sz w:val="22"/>
          <w:szCs w:val="22"/>
        </w:rPr>
      </w:pPr>
      <w:r w:rsidRPr="005B60B0">
        <w:rPr>
          <w:rFonts w:cstheme="minorHAnsi"/>
          <w:sz w:val="22"/>
          <w:szCs w:val="22"/>
        </w:rPr>
        <w:t>Plaće za zaposlene u projektu „Zaželi</w:t>
      </w:r>
      <w:r w:rsidR="00DF3B1A">
        <w:rPr>
          <w:rFonts w:cstheme="minorHAnsi"/>
          <w:sz w:val="22"/>
          <w:szCs w:val="22"/>
        </w:rPr>
        <w:t xml:space="preserve"> III</w:t>
      </w:r>
      <w:r w:rsidRPr="005B60B0">
        <w:rPr>
          <w:rFonts w:cstheme="minorHAnsi"/>
          <w:sz w:val="22"/>
          <w:szCs w:val="22"/>
        </w:rPr>
        <w:t>“</w:t>
      </w:r>
      <w:r w:rsidRPr="005B60B0">
        <w:rPr>
          <w:rFonts w:cstheme="minorHAnsi"/>
          <w:sz w:val="22"/>
          <w:szCs w:val="22"/>
        </w:rPr>
        <w:tab/>
      </w:r>
      <w:r w:rsidR="00DF3B1A">
        <w:rPr>
          <w:rFonts w:cstheme="minorHAnsi"/>
          <w:sz w:val="22"/>
          <w:szCs w:val="22"/>
        </w:rPr>
        <w:t>34.958,92</w:t>
      </w:r>
    </w:p>
    <w:p w14:paraId="43E7E6BA" w14:textId="0C4634BC" w:rsidR="00434207" w:rsidRPr="00E7385C" w:rsidRDefault="0043420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E7385C">
        <w:rPr>
          <w:rFonts w:cstheme="minorHAnsi"/>
          <w:sz w:val="22"/>
          <w:szCs w:val="22"/>
        </w:rPr>
        <w:t xml:space="preserve">Ostali rashodi za zaposlene u iznosu od </w:t>
      </w:r>
      <w:r w:rsidR="00DF3B1A">
        <w:rPr>
          <w:rFonts w:cstheme="minorHAnsi"/>
          <w:sz w:val="22"/>
          <w:szCs w:val="22"/>
        </w:rPr>
        <w:t>1.400</w:t>
      </w:r>
      <w:r w:rsidR="00781082" w:rsidRPr="00781082">
        <w:rPr>
          <w:rFonts w:cstheme="minorHAnsi"/>
          <w:sz w:val="22"/>
          <w:szCs w:val="22"/>
        </w:rPr>
        <w:t>,00</w:t>
      </w:r>
      <w:r w:rsidRPr="00E7385C">
        <w:rPr>
          <w:rFonts w:cstheme="minorHAnsi"/>
          <w:sz w:val="22"/>
          <w:szCs w:val="22"/>
        </w:rPr>
        <w:t xml:space="preserve"> </w:t>
      </w:r>
      <w:r w:rsidR="00DF3B1A">
        <w:rPr>
          <w:rFonts w:cstheme="minorHAnsi"/>
          <w:sz w:val="22"/>
          <w:szCs w:val="22"/>
        </w:rPr>
        <w:t>eura</w:t>
      </w:r>
      <w:r w:rsidRPr="00E7385C">
        <w:rPr>
          <w:rFonts w:cstheme="minorHAnsi"/>
          <w:sz w:val="22"/>
          <w:szCs w:val="22"/>
        </w:rPr>
        <w:t xml:space="preserve"> odnose se na</w:t>
      </w:r>
      <w:r w:rsidR="00C83807" w:rsidRPr="00E7385C">
        <w:rPr>
          <w:rFonts w:cstheme="minorHAnsi"/>
          <w:sz w:val="22"/>
          <w:szCs w:val="22"/>
        </w:rPr>
        <w:t xml:space="preserve"> </w:t>
      </w:r>
      <w:proofErr w:type="spellStart"/>
      <w:r w:rsidR="00781082" w:rsidRPr="00781082">
        <w:rPr>
          <w:rFonts w:cstheme="minorHAnsi"/>
          <w:sz w:val="22"/>
          <w:szCs w:val="22"/>
        </w:rPr>
        <w:t>uskrsnice</w:t>
      </w:r>
      <w:proofErr w:type="spellEnd"/>
      <w:r w:rsidR="00781082" w:rsidRPr="00781082">
        <w:rPr>
          <w:rFonts w:cstheme="minorHAnsi"/>
          <w:sz w:val="22"/>
          <w:szCs w:val="22"/>
        </w:rPr>
        <w:t xml:space="preserve"> za zaposlene u Općinskoj upravi</w:t>
      </w:r>
      <w:r w:rsidR="00781082">
        <w:rPr>
          <w:rFonts w:cstheme="minorHAnsi"/>
          <w:sz w:val="22"/>
          <w:szCs w:val="22"/>
        </w:rPr>
        <w:t xml:space="preserve"> i</w:t>
      </w:r>
      <w:r w:rsidR="00781082" w:rsidRPr="00781082">
        <w:rPr>
          <w:rFonts w:cstheme="minorHAnsi"/>
          <w:sz w:val="22"/>
          <w:szCs w:val="22"/>
        </w:rPr>
        <w:t xml:space="preserve"> projektu „</w:t>
      </w:r>
      <w:r w:rsidR="005C456D">
        <w:rPr>
          <w:rFonts w:cstheme="minorHAnsi"/>
          <w:sz w:val="22"/>
          <w:szCs w:val="22"/>
        </w:rPr>
        <w:t>Zaželi III“.</w:t>
      </w:r>
    </w:p>
    <w:p w14:paraId="328B3F05" w14:textId="001BA172" w:rsidR="00EA7D3F" w:rsidRDefault="00EA7D3F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F45183">
        <w:rPr>
          <w:rFonts w:cstheme="minorHAnsi"/>
          <w:sz w:val="22"/>
          <w:szCs w:val="22"/>
        </w:rPr>
        <w:t xml:space="preserve">Doprinosi na plaće realizirani su iznosu od </w:t>
      </w:r>
      <w:r w:rsidR="005C456D" w:rsidRPr="005C456D">
        <w:rPr>
          <w:rFonts w:cstheme="minorHAnsi"/>
          <w:sz w:val="22"/>
          <w:szCs w:val="22"/>
        </w:rPr>
        <w:t>11.464,53</w:t>
      </w:r>
      <w:r w:rsidR="005C456D">
        <w:rPr>
          <w:rFonts w:cstheme="minorHAnsi"/>
          <w:sz w:val="22"/>
          <w:szCs w:val="22"/>
        </w:rPr>
        <w:t xml:space="preserve"> eura</w:t>
      </w:r>
      <w:r w:rsidRPr="00F45183">
        <w:rPr>
          <w:rFonts w:cstheme="minorHAnsi"/>
          <w:sz w:val="22"/>
          <w:szCs w:val="22"/>
        </w:rPr>
        <w:t>, a</w:t>
      </w:r>
      <w:r w:rsidR="009C629F" w:rsidRPr="00F45183">
        <w:rPr>
          <w:rFonts w:cstheme="minorHAnsi"/>
          <w:sz w:val="22"/>
          <w:szCs w:val="22"/>
        </w:rPr>
        <w:t xml:space="preserve"> </w:t>
      </w:r>
      <w:r w:rsidRPr="00F45183">
        <w:rPr>
          <w:rFonts w:cstheme="minorHAnsi"/>
          <w:sz w:val="22"/>
          <w:szCs w:val="22"/>
        </w:rPr>
        <w:t>odnose se na doprinose za</w:t>
      </w:r>
      <w:r w:rsidR="00C83807" w:rsidRPr="00F45183">
        <w:rPr>
          <w:rFonts w:cstheme="minorHAnsi"/>
          <w:sz w:val="22"/>
          <w:szCs w:val="22"/>
        </w:rPr>
        <w:t xml:space="preserve"> zdravstveno osiguranje</w:t>
      </w:r>
      <w:r w:rsidRPr="00F45183">
        <w:rPr>
          <w:rFonts w:cstheme="minorHAnsi"/>
          <w:sz w:val="22"/>
          <w:szCs w:val="22"/>
        </w:rPr>
        <w:t xml:space="preserve">. Također se raščlanjuju na zaposlene </w:t>
      </w:r>
      <w:r w:rsidR="00781082">
        <w:rPr>
          <w:rFonts w:cstheme="minorHAnsi"/>
          <w:sz w:val="22"/>
          <w:szCs w:val="22"/>
        </w:rPr>
        <w:t xml:space="preserve">dužnosnike, službenike </w:t>
      </w:r>
      <w:r w:rsidRPr="00F45183">
        <w:rPr>
          <w:rFonts w:cstheme="minorHAnsi"/>
          <w:sz w:val="22"/>
          <w:szCs w:val="22"/>
        </w:rPr>
        <w:t xml:space="preserve">u upravnim tijelima, </w:t>
      </w:r>
      <w:r w:rsidR="00781082">
        <w:rPr>
          <w:rFonts w:cstheme="minorHAnsi"/>
          <w:sz w:val="22"/>
          <w:szCs w:val="22"/>
        </w:rPr>
        <w:t xml:space="preserve">te zaposlene u </w:t>
      </w:r>
      <w:r w:rsidRPr="00F45183">
        <w:rPr>
          <w:rFonts w:cstheme="minorHAnsi"/>
          <w:sz w:val="22"/>
          <w:szCs w:val="22"/>
        </w:rPr>
        <w:t>projekt</w:t>
      </w:r>
      <w:r w:rsidR="00781082">
        <w:rPr>
          <w:rFonts w:cstheme="minorHAnsi"/>
          <w:sz w:val="22"/>
          <w:szCs w:val="22"/>
        </w:rPr>
        <w:t>u</w:t>
      </w:r>
      <w:r w:rsidRPr="00F45183">
        <w:rPr>
          <w:rFonts w:cstheme="minorHAnsi"/>
          <w:sz w:val="22"/>
          <w:szCs w:val="22"/>
        </w:rPr>
        <w:t xml:space="preserve"> „Zaželi</w:t>
      </w:r>
      <w:r w:rsidR="005C456D">
        <w:rPr>
          <w:rFonts w:cstheme="minorHAnsi"/>
          <w:sz w:val="22"/>
          <w:szCs w:val="22"/>
        </w:rPr>
        <w:t xml:space="preserve"> III</w:t>
      </w:r>
      <w:r w:rsidRPr="00F45183">
        <w:rPr>
          <w:rFonts w:cstheme="minorHAnsi"/>
          <w:sz w:val="22"/>
          <w:szCs w:val="22"/>
        </w:rPr>
        <w:t>“</w:t>
      </w:r>
      <w:r w:rsidR="007361B0">
        <w:rPr>
          <w:rFonts w:cstheme="minorHAnsi"/>
          <w:sz w:val="22"/>
          <w:szCs w:val="22"/>
        </w:rPr>
        <w:t>.</w:t>
      </w:r>
    </w:p>
    <w:p w14:paraId="66637528" w14:textId="77777777" w:rsidR="00781082" w:rsidRPr="00F45183" w:rsidRDefault="0078108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E70CF8F" w14:textId="42726CE7" w:rsidR="00D43500" w:rsidRPr="00F45183" w:rsidRDefault="00F45183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5" w:name="_Toc144891693"/>
      <w:r w:rsidRPr="00F45183">
        <w:rPr>
          <w:b/>
          <w:caps w:val="0"/>
          <w:sz w:val="22"/>
        </w:rPr>
        <w:t>Materijalni rashodi</w:t>
      </w:r>
      <w:bookmarkEnd w:id="15"/>
    </w:p>
    <w:p w14:paraId="78D791F0" w14:textId="5C93C2EC" w:rsidR="00597147" w:rsidRPr="00797DD3" w:rsidRDefault="0059714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7DD3">
        <w:rPr>
          <w:rFonts w:cstheme="minorHAnsi"/>
          <w:sz w:val="22"/>
          <w:szCs w:val="22"/>
        </w:rPr>
        <w:t xml:space="preserve">Materijalni rashodi ostvareni su u iznosu od </w:t>
      </w:r>
      <w:r w:rsidR="00797DD3" w:rsidRPr="00797DD3">
        <w:rPr>
          <w:rFonts w:cstheme="minorHAnsi"/>
          <w:sz w:val="22"/>
          <w:szCs w:val="22"/>
        </w:rPr>
        <w:t>145.936,13</w:t>
      </w:r>
      <w:r w:rsidR="00797DD3">
        <w:rPr>
          <w:rFonts w:cstheme="minorHAnsi"/>
          <w:sz w:val="22"/>
          <w:szCs w:val="22"/>
        </w:rPr>
        <w:t xml:space="preserve"> eura</w:t>
      </w:r>
      <w:r w:rsidRPr="00797DD3">
        <w:rPr>
          <w:rFonts w:cstheme="minorHAnsi"/>
          <w:sz w:val="22"/>
          <w:szCs w:val="22"/>
        </w:rPr>
        <w:t xml:space="preserve"> i obuhvaćaju naknade troškova zaposlenima i osobama izvan radnog odnosa, rashode za materijal</w:t>
      </w:r>
      <w:r w:rsidR="004C4052" w:rsidRPr="00797DD3">
        <w:rPr>
          <w:rFonts w:cstheme="minorHAnsi"/>
          <w:sz w:val="22"/>
          <w:szCs w:val="22"/>
        </w:rPr>
        <w:t xml:space="preserve"> i</w:t>
      </w:r>
      <w:r w:rsidRPr="00797DD3">
        <w:rPr>
          <w:rFonts w:cstheme="minorHAnsi"/>
          <w:sz w:val="22"/>
          <w:szCs w:val="22"/>
        </w:rPr>
        <w:t xml:space="preserve"> energij</w:t>
      </w:r>
      <w:r w:rsidR="004C4052" w:rsidRPr="00797DD3">
        <w:rPr>
          <w:rFonts w:cstheme="minorHAnsi"/>
          <w:sz w:val="22"/>
          <w:szCs w:val="22"/>
        </w:rPr>
        <w:t xml:space="preserve">u, </w:t>
      </w:r>
      <w:r w:rsidR="00AF0D77" w:rsidRPr="00797DD3">
        <w:rPr>
          <w:rFonts w:cstheme="minorHAnsi"/>
          <w:sz w:val="22"/>
          <w:szCs w:val="22"/>
        </w:rPr>
        <w:t xml:space="preserve"> </w:t>
      </w:r>
      <w:r w:rsidR="004C4052" w:rsidRPr="00797DD3">
        <w:rPr>
          <w:rFonts w:cstheme="minorHAnsi"/>
          <w:sz w:val="22"/>
          <w:szCs w:val="22"/>
        </w:rPr>
        <w:t>rashod</w:t>
      </w:r>
      <w:r w:rsidR="00C37143" w:rsidRPr="00797DD3">
        <w:rPr>
          <w:rFonts w:cstheme="minorHAnsi"/>
          <w:sz w:val="22"/>
          <w:szCs w:val="22"/>
        </w:rPr>
        <w:t>e</w:t>
      </w:r>
      <w:r w:rsidR="004C4052" w:rsidRPr="00797DD3">
        <w:rPr>
          <w:rFonts w:cstheme="minorHAnsi"/>
          <w:sz w:val="22"/>
          <w:szCs w:val="22"/>
        </w:rPr>
        <w:t xml:space="preserve"> za usluge</w:t>
      </w:r>
      <w:r w:rsidR="00C37143" w:rsidRPr="00797DD3">
        <w:rPr>
          <w:rFonts w:cstheme="minorHAnsi"/>
          <w:sz w:val="22"/>
          <w:szCs w:val="22"/>
        </w:rPr>
        <w:t xml:space="preserve"> i ostale nespomenute rashode</w:t>
      </w:r>
      <w:r w:rsidR="004C4052" w:rsidRPr="00797DD3">
        <w:rPr>
          <w:rFonts w:cstheme="minorHAnsi"/>
          <w:sz w:val="22"/>
          <w:szCs w:val="22"/>
        </w:rPr>
        <w:t>.</w:t>
      </w:r>
      <w:r w:rsidRPr="00797DD3">
        <w:rPr>
          <w:rFonts w:cstheme="minorHAnsi"/>
          <w:sz w:val="22"/>
          <w:szCs w:val="22"/>
        </w:rPr>
        <w:t xml:space="preserve"> </w:t>
      </w:r>
    </w:p>
    <w:p w14:paraId="5D5556D3" w14:textId="1D7672B4" w:rsidR="00781082" w:rsidRPr="00797DD3" w:rsidRDefault="0036018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7DD3">
        <w:rPr>
          <w:rFonts w:cstheme="minorHAnsi"/>
          <w:sz w:val="22"/>
          <w:szCs w:val="22"/>
        </w:rPr>
        <w:t xml:space="preserve">U usporedbi s prethodnom godinom </w:t>
      </w:r>
      <w:r w:rsidR="00597147" w:rsidRPr="00797DD3">
        <w:rPr>
          <w:rFonts w:cstheme="minorHAnsi"/>
          <w:sz w:val="22"/>
          <w:szCs w:val="22"/>
        </w:rPr>
        <w:t xml:space="preserve">materijalni rashodi su </w:t>
      </w:r>
      <w:r w:rsidR="00797DD3">
        <w:rPr>
          <w:rFonts w:cstheme="minorHAnsi"/>
          <w:sz w:val="22"/>
          <w:szCs w:val="22"/>
        </w:rPr>
        <w:t>manji</w:t>
      </w:r>
      <w:r w:rsidRPr="00797DD3">
        <w:rPr>
          <w:rFonts w:cstheme="minorHAnsi"/>
          <w:sz w:val="22"/>
          <w:szCs w:val="22"/>
        </w:rPr>
        <w:t xml:space="preserve"> za </w:t>
      </w:r>
      <w:r w:rsidR="00797DD3">
        <w:rPr>
          <w:rFonts w:cstheme="minorHAnsi"/>
          <w:sz w:val="22"/>
          <w:szCs w:val="22"/>
        </w:rPr>
        <w:t>32,71</w:t>
      </w:r>
      <w:r w:rsidR="00C37143" w:rsidRPr="00797DD3">
        <w:rPr>
          <w:rFonts w:cstheme="minorHAnsi"/>
          <w:sz w:val="22"/>
          <w:szCs w:val="22"/>
        </w:rPr>
        <w:t xml:space="preserve">%, a realizirano je </w:t>
      </w:r>
      <w:r w:rsidR="00797DD3">
        <w:rPr>
          <w:rFonts w:cstheme="minorHAnsi"/>
          <w:sz w:val="22"/>
          <w:szCs w:val="22"/>
        </w:rPr>
        <w:t>45,64</w:t>
      </w:r>
      <w:r w:rsidR="00C37143" w:rsidRPr="00797DD3">
        <w:rPr>
          <w:rFonts w:cstheme="minorHAnsi"/>
          <w:sz w:val="22"/>
          <w:szCs w:val="22"/>
        </w:rPr>
        <w:t>% Plana.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797DD3" w:rsidRPr="00797DD3" w14:paraId="68C15413" w14:textId="77777777" w:rsidTr="00797DD3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D2030E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CC1670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85A52C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1E64B2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09E718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F342E3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59B6AA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797DD3" w:rsidRPr="00797DD3" w14:paraId="1B05500B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BC33F35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C5CBA14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C5B8BB3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F0B2460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97F4242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21D871C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D532A8" w14:textId="77777777" w:rsidR="00797DD3" w:rsidRPr="00797DD3" w:rsidRDefault="00797DD3" w:rsidP="00797D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797DD3" w:rsidRPr="00797DD3" w14:paraId="318939CA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DC76F6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C8159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8B263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188.810,06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5377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319.750,00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6D87E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145.936,13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3812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77,29%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D7DE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45,64%</w:t>
            </w:r>
          </w:p>
        </w:tc>
      </w:tr>
      <w:tr w:rsidR="00797DD3" w:rsidRPr="00797DD3" w14:paraId="27283E23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7AC190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0A095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FD43E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8.124,61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23C61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36F3E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5.151,32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7F864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63,40%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F02B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31,60%</w:t>
            </w:r>
          </w:p>
        </w:tc>
      </w:tr>
      <w:tr w:rsidR="00797DD3" w:rsidRPr="00797DD3" w14:paraId="4AA12118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490C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92970E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B9C47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686,98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B39F1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A16B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667,20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76EFC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97,12%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8A79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18,03%</w:t>
            </w:r>
          </w:p>
        </w:tc>
      </w:tr>
      <w:tr w:rsidR="00797DD3" w:rsidRPr="00797DD3" w14:paraId="589AA4AC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F7122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23EFE9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766D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3.724,94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F1B5A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D2963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2.000,93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D8BD6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53,72%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E07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37,75%</w:t>
            </w:r>
          </w:p>
        </w:tc>
      </w:tr>
      <w:tr w:rsidR="00797DD3" w:rsidRPr="00797DD3" w14:paraId="4440A5B3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AC2EDB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E4F4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83B70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1.925,71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113A6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B018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645A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BC928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97DD3" w:rsidRPr="00797DD3" w14:paraId="56192C96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219745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B52AB3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33FFF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1.786,98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EEED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4D4E4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2.483,19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BFC43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138,96%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53F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40,71%</w:t>
            </w:r>
          </w:p>
        </w:tc>
      </w:tr>
      <w:tr w:rsidR="00797DD3" w:rsidRPr="00797DD3" w14:paraId="3D78FBED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D06B7F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B89FA2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D0E20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18.750,06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7C91D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47.950,00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F2E64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15.070,81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78119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80,38%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E71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31,43%</w:t>
            </w:r>
          </w:p>
        </w:tc>
      </w:tr>
      <w:tr w:rsidR="00797DD3" w:rsidRPr="00797DD3" w14:paraId="5530A0C9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659121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D9D9F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148F3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693,87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C607A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8.600,00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200B4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6.856,40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5E51F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988,14%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D45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79,73%</w:t>
            </w:r>
          </w:p>
        </w:tc>
      </w:tr>
      <w:tr w:rsidR="00797DD3" w:rsidRPr="00797DD3" w14:paraId="4B8407D7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952C0A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C7607D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CD619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16.986,92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26CBCE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37.450,00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657CC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8.007,52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7070B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47,14%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15D4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21,38%</w:t>
            </w:r>
          </w:p>
        </w:tc>
      </w:tr>
      <w:tr w:rsidR="00797DD3" w:rsidRPr="00797DD3" w14:paraId="740DA5B9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DB2E7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4FBB2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8A2D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957,89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C27B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0D4D6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206,89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5E8CA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21,60%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5E92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14,78%</w:t>
            </w:r>
          </w:p>
        </w:tc>
      </w:tr>
      <w:tr w:rsidR="00797DD3" w:rsidRPr="00797DD3" w14:paraId="1DBBC419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9BAB75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0D8E1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088A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111,38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57646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B2C4C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34544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C19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97DD3" w:rsidRPr="00797DD3" w14:paraId="4BBF664D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5EC68D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F3F667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40857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156.865,54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4CFAF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231.900,00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450D0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118.508,31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10C47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75,55%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FE2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51,10%</w:t>
            </w:r>
          </w:p>
        </w:tc>
      </w:tr>
      <w:tr w:rsidR="00797DD3" w:rsidRPr="00797DD3" w14:paraId="428E144A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C47809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3D9F7F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1CCE1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1.741,39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1BF57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A5BD3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1.583,93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8A3A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90,96%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BDC4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51,09%</w:t>
            </w:r>
          </w:p>
        </w:tc>
      </w:tr>
      <w:tr w:rsidR="00797DD3" w:rsidRPr="00797DD3" w14:paraId="5301E178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AD30D3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36F59B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904D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71.123,35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BA80A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123.750,00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E7098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65.533,11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66093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92,14%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C562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52,96%</w:t>
            </w:r>
          </w:p>
        </w:tc>
      </w:tr>
      <w:tr w:rsidR="00797DD3" w:rsidRPr="00797DD3" w14:paraId="0A51EFA5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33A77E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AD39A7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89B44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5.252,53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D6D8E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4BAAB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2.613,60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E24E4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49,76%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110E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23,55%</w:t>
            </w:r>
          </w:p>
        </w:tc>
      </w:tr>
      <w:tr w:rsidR="00797DD3" w:rsidRPr="00797DD3" w14:paraId="5E07F32F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63473D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B0AEC6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2DC3E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26.002,26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C2982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381A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21.476,15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0F48E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90C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52,51%</w:t>
            </w:r>
          </w:p>
        </w:tc>
      </w:tr>
      <w:tr w:rsidR="00797DD3" w:rsidRPr="00797DD3" w14:paraId="5CDD7036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094AC8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86CC65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5C34B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371,63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5EBA7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23BEB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7823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3442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97DD3" w:rsidRPr="00797DD3" w14:paraId="69B0F2E7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26B636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29135B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D8467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371,63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3930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FD3B8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E09F4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B315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97DD3" w:rsidRPr="00797DD3" w14:paraId="78D28CAE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638460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DA2567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9A1A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42.184,27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1C721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37.950,00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50D88F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22.865,55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90AC7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54,20%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4DB6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60,25%</w:t>
            </w:r>
          </w:p>
        </w:tc>
      </w:tr>
      <w:tr w:rsidR="00797DD3" w:rsidRPr="00797DD3" w14:paraId="48B4CF9D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6BF63B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D21B91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782CE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8.431,92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5F0EE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CB994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4.114,15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C4C93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48,79%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C75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43,31%</w:t>
            </w:r>
          </w:p>
        </w:tc>
      </w:tr>
      <w:tr w:rsidR="00797DD3" w:rsidRPr="00797DD3" w14:paraId="56BD013F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8DA6E8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48E932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2717F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1.758,19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CFB27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FED84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321,82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CBD9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18,30%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205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11,10%</w:t>
            </w:r>
          </w:p>
        </w:tc>
      </w:tr>
      <w:tr w:rsidR="00797DD3" w:rsidRPr="00797DD3" w14:paraId="536AC5AC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E5C4F3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C169CF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04E14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5.069,85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43015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23.600,00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962D7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7.205,69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5AC1B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142,13%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45A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30,53%</w:t>
            </w:r>
          </w:p>
        </w:tc>
      </w:tr>
      <w:tr w:rsidR="00797DD3" w:rsidRPr="00797DD3" w14:paraId="3E1A914D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2E45B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34EBA7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1104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1B416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A7CCD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69A966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735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97DD3" w:rsidRPr="00797DD3" w14:paraId="69AACD3A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44FAA3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4FF38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3DE08D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C53A5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81B349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7E943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7ED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797DD3" w:rsidRPr="00797DD3" w14:paraId="4DF42645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90231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9E9D85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0DB65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2.606,10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18AB81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78386C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1.760,41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1968C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67,55%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FA68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37,46%</w:t>
            </w:r>
          </w:p>
        </w:tc>
      </w:tr>
      <w:tr w:rsidR="00797DD3" w:rsidRPr="00797DD3" w14:paraId="644C0582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6D11A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4A7B9F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7561B3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1.504,99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31C8D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F2145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1.504,76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3A86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99,98%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2A8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83,60%</w:t>
            </w:r>
          </w:p>
        </w:tc>
      </w:tr>
      <w:tr w:rsidR="00797DD3" w:rsidRPr="00797DD3" w14:paraId="23D7401E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7C3A38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D2690F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541D0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8A887B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A287D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543,59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41FC94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7974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27,18%</w:t>
            </w:r>
          </w:p>
        </w:tc>
      </w:tr>
      <w:tr w:rsidR="00797DD3" w:rsidRPr="00797DD3" w14:paraId="2F44AD71" w14:textId="77777777" w:rsidTr="00797DD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C384BC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7DEDD" w14:textId="77777777" w:rsidR="00797DD3" w:rsidRPr="00797DD3" w:rsidRDefault="00797DD3" w:rsidP="00797D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BD917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958,76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82392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76C7A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3.396,93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95FF6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354,30%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31977" w14:textId="77777777" w:rsidR="00797DD3" w:rsidRPr="00797DD3" w:rsidRDefault="00797DD3" w:rsidP="00797DD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7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30,60%</w:t>
            </w:r>
          </w:p>
        </w:tc>
      </w:tr>
    </w:tbl>
    <w:p w14:paraId="56DA2DD2" w14:textId="79A0911D" w:rsidR="0036018D" w:rsidRPr="00000576" w:rsidRDefault="00D3452E" w:rsidP="00F4518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Naknade troškova zaposlenima u iznosu od </w:t>
      </w:r>
      <w:r w:rsidR="00797DD3" w:rsidRPr="00797DD3">
        <w:rPr>
          <w:rFonts w:cstheme="minorHAnsi"/>
          <w:sz w:val="22"/>
          <w:szCs w:val="22"/>
        </w:rPr>
        <w:t>5.151,32</w:t>
      </w:r>
      <w:r w:rsidR="00797DD3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obuhvaćaju rashode za službena putovanja, </w:t>
      </w:r>
      <w:r w:rsidR="004C4052" w:rsidRPr="00000576">
        <w:rPr>
          <w:rFonts w:cstheme="minorHAnsi"/>
          <w:sz w:val="22"/>
          <w:szCs w:val="22"/>
        </w:rPr>
        <w:t xml:space="preserve">naknadu za prijevoz, </w:t>
      </w:r>
      <w:r w:rsidR="00AE006E" w:rsidRPr="00000576">
        <w:rPr>
          <w:rFonts w:cstheme="minorHAnsi"/>
          <w:sz w:val="22"/>
          <w:szCs w:val="22"/>
        </w:rPr>
        <w:t>rashode stručnog usavršavanja</w:t>
      </w:r>
      <w:r w:rsidR="004C4052" w:rsidRPr="00000576">
        <w:rPr>
          <w:rFonts w:cstheme="minorHAnsi"/>
          <w:sz w:val="22"/>
          <w:szCs w:val="22"/>
        </w:rPr>
        <w:t xml:space="preserve"> i ostale naknade troškova zaposlenima</w:t>
      </w:r>
      <w:r w:rsidR="00862519">
        <w:rPr>
          <w:rFonts w:cstheme="minorHAnsi"/>
          <w:sz w:val="22"/>
          <w:szCs w:val="22"/>
        </w:rPr>
        <w:t>, te su</w:t>
      </w:r>
      <w:r w:rsidR="004C4052" w:rsidRPr="00000576">
        <w:rPr>
          <w:rFonts w:cstheme="minorHAnsi"/>
          <w:sz w:val="22"/>
          <w:szCs w:val="22"/>
        </w:rPr>
        <w:t xml:space="preserve"> </w:t>
      </w:r>
      <w:r w:rsidR="00797DD3">
        <w:rPr>
          <w:rFonts w:cstheme="minorHAnsi"/>
          <w:sz w:val="22"/>
          <w:szCs w:val="22"/>
        </w:rPr>
        <w:t>36,60</w:t>
      </w:r>
      <w:r w:rsidR="00AE006E" w:rsidRPr="00000576">
        <w:rPr>
          <w:rFonts w:cstheme="minorHAnsi"/>
          <w:sz w:val="22"/>
          <w:szCs w:val="22"/>
        </w:rPr>
        <w:t xml:space="preserve">% </w:t>
      </w:r>
      <w:r w:rsidR="00797DD3">
        <w:rPr>
          <w:rFonts w:cstheme="minorHAnsi"/>
          <w:sz w:val="22"/>
          <w:szCs w:val="22"/>
        </w:rPr>
        <w:t>manji</w:t>
      </w:r>
      <w:r w:rsidR="00AE006E" w:rsidRPr="00000576">
        <w:rPr>
          <w:rFonts w:cstheme="minorHAnsi"/>
          <w:sz w:val="22"/>
          <w:szCs w:val="22"/>
        </w:rPr>
        <w:t xml:space="preserve"> u odnosu na</w:t>
      </w:r>
      <w:r w:rsidR="00797DD3">
        <w:rPr>
          <w:rFonts w:cstheme="minorHAnsi"/>
          <w:sz w:val="22"/>
          <w:szCs w:val="22"/>
        </w:rPr>
        <w:t xml:space="preserve"> isto razdoblje</w:t>
      </w:r>
      <w:r w:rsidR="00AE006E" w:rsidRPr="00000576">
        <w:rPr>
          <w:rFonts w:cstheme="minorHAnsi"/>
          <w:sz w:val="22"/>
          <w:szCs w:val="22"/>
        </w:rPr>
        <w:t xml:space="preserve"> prethodn</w:t>
      </w:r>
      <w:r w:rsidR="00797DD3">
        <w:rPr>
          <w:rFonts w:cstheme="minorHAnsi"/>
          <w:sz w:val="22"/>
          <w:szCs w:val="22"/>
        </w:rPr>
        <w:t>e</w:t>
      </w:r>
      <w:r w:rsidR="00AE006E" w:rsidRPr="00000576">
        <w:rPr>
          <w:rFonts w:cstheme="minorHAnsi"/>
          <w:sz w:val="22"/>
          <w:szCs w:val="22"/>
        </w:rPr>
        <w:t xml:space="preserve"> godin</w:t>
      </w:r>
      <w:r w:rsidR="00797DD3">
        <w:rPr>
          <w:rFonts w:cstheme="minorHAnsi"/>
          <w:sz w:val="22"/>
          <w:szCs w:val="22"/>
        </w:rPr>
        <w:t>e</w:t>
      </w:r>
      <w:r w:rsidR="008362B3" w:rsidRPr="00000576">
        <w:rPr>
          <w:rFonts w:cstheme="minorHAnsi"/>
          <w:sz w:val="22"/>
          <w:szCs w:val="22"/>
        </w:rPr>
        <w:t>.</w:t>
      </w:r>
    </w:p>
    <w:p w14:paraId="0956E95E" w14:textId="39E1D6D4" w:rsidR="006C2915" w:rsidRPr="006C2915" w:rsidRDefault="008362B3" w:rsidP="006C2915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materijal i energiju ostvareni su u iznosu od </w:t>
      </w:r>
      <w:r w:rsidR="00797DD3" w:rsidRPr="00797DD3">
        <w:rPr>
          <w:rFonts w:cstheme="minorHAnsi"/>
          <w:sz w:val="22"/>
          <w:szCs w:val="22"/>
        </w:rPr>
        <w:t>15.070,81</w:t>
      </w:r>
      <w:r w:rsidR="00797DD3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</w:t>
      </w:r>
      <w:r w:rsidR="00C37143">
        <w:rPr>
          <w:rFonts w:cstheme="minorHAnsi"/>
          <w:sz w:val="22"/>
          <w:szCs w:val="22"/>
        </w:rPr>
        <w:t xml:space="preserve">čime je realizirano </w:t>
      </w:r>
      <w:r w:rsidR="00797DD3">
        <w:rPr>
          <w:rFonts w:cstheme="minorHAnsi"/>
          <w:sz w:val="22"/>
          <w:szCs w:val="22"/>
        </w:rPr>
        <w:t>31,43</w:t>
      </w:r>
      <w:r w:rsidRPr="00000576">
        <w:rPr>
          <w:rFonts w:cstheme="minorHAnsi"/>
          <w:sz w:val="22"/>
          <w:szCs w:val="22"/>
        </w:rPr>
        <w:t xml:space="preserve">% </w:t>
      </w:r>
      <w:r w:rsidR="00797DD3">
        <w:rPr>
          <w:rFonts w:cstheme="minorHAnsi"/>
          <w:sz w:val="22"/>
          <w:szCs w:val="22"/>
        </w:rPr>
        <w:t>p</w:t>
      </w:r>
      <w:r w:rsidR="00C37143">
        <w:rPr>
          <w:rFonts w:cstheme="minorHAnsi"/>
          <w:sz w:val="22"/>
          <w:szCs w:val="22"/>
        </w:rPr>
        <w:t>laniranog iznosa za 202</w:t>
      </w:r>
      <w:r w:rsidR="00797DD3">
        <w:rPr>
          <w:rFonts w:cstheme="minorHAnsi"/>
          <w:sz w:val="22"/>
          <w:szCs w:val="22"/>
        </w:rPr>
        <w:t>3</w:t>
      </w:r>
      <w:r w:rsidR="00C37143">
        <w:rPr>
          <w:rFonts w:cstheme="minorHAnsi"/>
          <w:sz w:val="22"/>
          <w:szCs w:val="22"/>
        </w:rPr>
        <w:t>. godinu</w:t>
      </w:r>
      <w:r w:rsidRPr="00000576">
        <w:rPr>
          <w:rFonts w:cstheme="minorHAnsi"/>
          <w:sz w:val="22"/>
          <w:szCs w:val="22"/>
        </w:rPr>
        <w:t xml:space="preserve">. </w:t>
      </w:r>
      <w:r w:rsidR="006C2915">
        <w:rPr>
          <w:rFonts w:cstheme="minorHAnsi"/>
          <w:sz w:val="22"/>
          <w:szCs w:val="22"/>
        </w:rPr>
        <w:t>N</w:t>
      </w:r>
      <w:r w:rsidR="006C2915" w:rsidRPr="006C2915">
        <w:rPr>
          <w:rFonts w:cstheme="minorHAnsi"/>
          <w:sz w:val="22"/>
          <w:szCs w:val="22"/>
        </w:rPr>
        <w:t xml:space="preserve">ajveći dio </w:t>
      </w:r>
      <w:r w:rsidR="006C2915">
        <w:rPr>
          <w:rFonts w:cstheme="minorHAnsi"/>
          <w:sz w:val="22"/>
          <w:szCs w:val="22"/>
        </w:rPr>
        <w:t>ovih</w:t>
      </w:r>
      <w:r w:rsidR="006C2915" w:rsidRPr="006C2915">
        <w:rPr>
          <w:rFonts w:cstheme="minorHAnsi"/>
          <w:sz w:val="22"/>
          <w:szCs w:val="22"/>
        </w:rPr>
        <w:t xml:space="preserve"> rashoda odnosi na rashode za energiju u iznosu</w:t>
      </w:r>
      <w:r w:rsidR="006C2915">
        <w:rPr>
          <w:rFonts w:cstheme="minorHAnsi"/>
          <w:sz w:val="22"/>
          <w:szCs w:val="22"/>
        </w:rPr>
        <w:t xml:space="preserve"> </w:t>
      </w:r>
      <w:r w:rsidR="00797DD3" w:rsidRPr="00797DD3">
        <w:rPr>
          <w:rFonts w:cstheme="minorHAnsi"/>
          <w:sz w:val="22"/>
          <w:szCs w:val="22"/>
        </w:rPr>
        <w:t>8.007,52</w:t>
      </w:r>
      <w:r w:rsidR="00797DD3">
        <w:rPr>
          <w:rFonts w:cstheme="minorHAnsi"/>
          <w:sz w:val="22"/>
          <w:szCs w:val="22"/>
        </w:rPr>
        <w:t xml:space="preserve"> eura</w:t>
      </w:r>
      <w:r w:rsidR="006C2915" w:rsidRPr="006C2915">
        <w:rPr>
          <w:rFonts w:cstheme="minorHAnsi"/>
          <w:sz w:val="22"/>
          <w:szCs w:val="22"/>
        </w:rPr>
        <w:t xml:space="preserve">, a ostatak izvršenih rashoda odnosi se na rashode za uredski materijal, </w:t>
      </w:r>
      <w:r w:rsidR="006C2915" w:rsidRPr="00B65D8F">
        <w:rPr>
          <w:rFonts w:cstheme="minorHAnsi"/>
          <w:sz w:val="22"/>
          <w:szCs w:val="22"/>
        </w:rPr>
        <w:t xml:space="preserve">pretplatu na stručnu literaturu, </w:t>
      </w:r>
      <w:r w:rsidR="005A7AFD">
        <w:rPr>
          <w:rFonts w:cstheme="minorHAnsi"/>
          <w:sz w:val="22"/>
          <w:szCs w:val="22"/>
        </w:rPr>
        <w:t>materijal za čišćenje i sitni inventar</w:t>
      </w:r>
      <w:r w:rsidR="006C2915" w:rsidRPr="00B65D8F">
        <w:rPr>
          <w:rFonts w:cstheme="minorHAnsi"/>
          <w:sz w:val="22"/>
          <w:szCs w:val="22"/>
        </w:rPr>
        <w:t>.</w:t>
      </w:r>
    </w:p>
    <w:p w14:paraId="10896C29" w14:textId="6B83919C" w:rsidR="00374739" w:rsidRPr="00374739" w:rsidRDefault="00374739" w:rsidP="00B97AEC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lastRenderedPageBreak/>
        <w:t xml:space="preserve">Rashodi za usluge su realizirani u iznosu od </w:t>
      </w:r>
      <w:r w:rsidR="00797DD3" w:rsidRPr="00797DD3">
        <w:rPr>
          <w:rFonts w:cstheme="minorHAnsi"/>
          <w:sz w:val="22"/>
          <w:szCs w:val="22"/>
        </w:rPr>
        <w:t>118.508,31</w:t>
      </w:r>
      <w:r w:rsidR="00797DD3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 xml:space="preserve">, te su </w:t>
      </w:r>
      <w:r w:rsidR="005B1DE6">
        <w:rPr>
          <w:rFonts w:cstheme="minorHAnsi"/>
          <w:sz w:val="22"/>
          <w:szCs w:val="22"/>
        </w:rPr>
        <w:t>24,45</w:t>
      </w:r>
      <w:r w:rsidRPr="00374739">
        <w:rPr>
          <w:rFonts w:cstheme="minorHAnsi"/>
          <w:sz w:val="22"/>
          <w:szCs w:val="22"/>
        </w:rPr>
        <w:t xml:space="preserve">% </w:t>
      </w:r>
      <w:r w:rsidR="005B1DE6">
        <w:rPr>
          <w:rFonts w:cstheme="minorHAnsi"/>
          <w:sz w:val="22"/>
          <w:szCs w:val="22"/>
        </w:rPr>
        <w:t>manji</w:t>
      </w:r>
      <w:r w:rsidRPr="00374739">
        <w:rPr>
          <w:rFonts w:cstheme="minorHAnsi"/>
          <w:sz w:val="22"/>
          <w:szCs w:val="22"/>
        </w:rPr>
        <w:t xml:space="preserve"> u odnosu na pretho</w:t>
      </w:r>
      <w:r w:rsidR="00B97AEC">
        <w:rPr>
          <w:rFonts w:cstheme="minorHAnsi"/>
          <w:sz w:val="22"/>
          <w:szCs w:val="22"/>
        </w:rPr>
        <w:t>dnu godinu, a obuhvaćaju usluge</w:t>
      </w:r>
      <w:r w:rsidRPr="00374739">
        <w:rPr>
          <w:rFonts w:cstheme="minorHAnsi"/>
          <w:sz w:val="22"/>
          <w:szCs w:val="22"/>
        </w:rPr>
        <w:t xml:space="preserve"> tekućeg i investicijskog održavanja, promidžbe i informiranja, komunalne usluge, </w:t>
      </w:r>
      <w:r w:rsidR="00B97AEC">
        <w:rPr>
          <w:rFonts w:cstheme="minorHAnsi"/>
          <w:sz w:val="22"/>
          <w:szCs w:val="22"/>
        </w:rPr>
        <w:t xml:space="preserve">te </w:t>
      </w:r>
      <w:r w:rsidR="00B97AEC" w:rsidRPr="00B97AEC">
        <w:rPr>
          <w:rFonts w:cstheme="minorHAnsi"/>
          <w:sz w:val="22"/>
          <w:szCs w:val="22"/>
        </w:rPr>
        <w:t>druge</w:t>
      </w:r>
      <w:r w:rsidR="00B97AEC">
        <w:rPr>
          <w:rFonts w:cstheme="minorHAnsi"/>
          <w:sz w:val="22"/>
          <w:szCs w:val="22"/>
        </w:rPr>
        <w:t xml:space="preserve"> </w:t>
      </w:r>
      <w:r w:rsidR="00B97AEC" w:rsidRPr="00B97AEC">
        <w:rPr>
          <w:rFonts w:cstheme="minorHAnsi"/>
          <w:sz w:val="22"/>
          <w:szCs w:val="22"/>
        </w:rPr>
        <w:t>usluge vezane za redovno poslovanje i izvršavanje programskih aktivnosti</w:t>
      </w:r>
      <w:r w:rsidRPr="00374739">
        <w:rPr>
          <w:rFonts w:cstheme="minorHAnsi"/>
          <w:sz w:val="22"/>
          <w:szCs w:val="22"/>
        </w:rPr>
        <w:t>, od kojih najveći udio imaju:</w:t>
      </w:r>
    </w:p>
    <w:p w14:paraId="03072336" w14:textId="6CB01C8A" w:rsidR="00374739" w:rsidRDefault="00374739" w:rsidP="005B1DE6">
      <w:pPr>
        <w:pStyle w:val="ListParagraph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usluge tekućeg </w:t>
      </w:r>
      <w:r w:rsidR="00B97AEC">
        <w:rPr>
          <w:rFonts w:cstheme="minorHAnsi"/>
          <w:sz w:val="22"/>
          <w:szCs w:val="22"/>
        </w:rPr>
        <w:t>i investicijskog održavanja koje</w:t>
      </w:r>
      <w:r w:rsidRPr="00374739">
        <w:rPr>
          <w:rFonts w:cstheme="minorHAnsi"/>
          <w:sz w:val="22"/>
          <w:szCs w:val="22"/>
        </w:rPr>
        <w:t xml:space="preserve"> iznos</w:t>
      </w:r>
      <w:r w:rsidR="00B97AEC">
        <w:rPr>
          <w:rFonts w:cstheme="minorHAnsi"/>
          <w:sz w:val="22"/>
          <w:szCs w:val="22"/>
        </w:rPr>
        <w:t>e</w:t>
      </w:r>
      <w:r w:rsidRPr="00374739">
        <w:rPr>
          <w:rFonts w:cstheme="minorHAnsi"/>
          <w:sz w:val="22"/>
          <w:szCs w:val="22"/>
        </w:rPr>
        <w:t xml:space="preserve"> </w:t>
      </w:r>
      <w:r w:rsidR="005B1DE6" w:rsidRPr="005B1DE6">
        <w:rPr>
          <w:rFonts w:cstheme="minorHAnsi"/>
          <w:sz w:val="22"/>
          <w:szCs w:val="22"/>
        </w:rPr>
        <w:t>65.533,11</w:t>
      </w:r>
      <w:r w:rsidR="005B1DE6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>, a obuhvaća u najvećem dijelu održavanje komunalne infrastrukture (održavanje nerazvrstanih cesta i poljskih puteva, pješačkih staza, javne rasvjete, javnih površina) te održavanje domova i ostalih objekata u vlasništvu Općine</w:t>
      </w:r>
      <w:r w:rsidR="00F76FE6">
        <w:rPr>
          <w:rFonts w:cstheme="minorHAnsi"/>
          <w:sz w:val="22"/>
          <w:szCs w:val="22"/>
        </w:rPr>
        <w:t>,</w:t>
      </w:r>
    </w:p>
    <w:p w14:paraId="7E908675" w14:textId="7B003123" w:rsidR="00E77D1E" w:rsidRPr="00F76FE6" w:rsidRDefault="00E77D1E" w:rsidP="005B1DE6">
      <w:pPr>
        <w:pStyle w:val="ListParagraph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intelektualne i osobne usluge u iznosu od </w:t>
      </w:r>
      <w:r w:rsidR="005B1DE6" w:rsidRPr="005B1DE6">
        <w:rPr>
          <w:rFonts w:cstheme="minorHAnsi"/>
          <w:sz w:val="22"/>
          <w:szCs w:val="22"/>
        </w:rPr>
        <w:t>22.865,55</w:t>
      </w:r>
      <w:r w:rsidR="005B1DE6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 xml:space="preserve">, koje se odnose na usluge računovodstva, usluge upravljanja projektom „Zaželi“, </w:t>
      </w:r>
      <w:r>
        <w:rPr>
          <w:rFonts w:cstheme="minorHAnsi"/>
          <w:sz w:val="22"/>
          <w:szCs w:val="22"/>
        </w:rPr>
        <w:t xml:space="preserve">te geodetsko-katastarske </w:t>
      </w:r>
      <w:r w:rsidRPr="00374739">
        <w:rPr>
          <w:rFonts w:cstheme="minorHAnsi"/>
          <w:sz w:val="22"/>
          <w:szCs w:val="22"/>
        </w:rPr>
        <w:t xml:space="preserve">usluge </w:t>
      </w:r>
      <w:r>
        <w:rPr>
          <w:rFonts w:cstheme="minorHAnsi"/>
          <w:sz w:val="22"/>
          <w:szCs w:val="22"/>
        </w:rPr>
        <w:t>i ostale usluge,</w:t>
      </w:r>
    </w:p>
    <w:p w14:paraId="49AD09C7" w14:textId="2A96D633" w:rsidR="00E77D1E" w:rsidRDefault="00E77D1E" w:rsidP="005B1DE6">
      <w:pPr>
        <w:pStyle w:val="ListParagraph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>komunalne usluge</w:t>
      </w:r>
      <w:r>
        <w:rPr>
          <w:rFonts w:cstheme="minorHAnsi"/>
          <w:sz w:val="22"/>
          <w:szCs w:val="22"/>
        </w:rPr>
        <w:t xml:space="preserve"> u iznosu od</w:t>
      </w:r>
      <w:r w:rsidRPr="00374739">
        <w:rPr>
          <w:rFonts w:cstheme="minorHAnsi"/>
          <w:sz w:val="22"/>
          <w:szCs w:val="22"/>
        </w:rPr>
        <w:t xml:space="preserve"> </w:t>
      </w:r>
      <w:r w:rsidR="005B1DE6" w:rsidRPr="005B1DE6">
        <w:rPr>
          <w:rFonts w:cstheme="minorHAnsi"/>
          <w:sz w:val="22"/>
          <w:szCs w:val="22"/>
        </w:rPr>
        <w:t>21.476,15</w:t>
      </w:r>
      <w:r w:rsidR="005B1DE6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>, a obuhvaćaju rashode za odvoz otpada, opskrbu vodom, uslugu deratizacije i dezinsekcije</w:t>
      </w:r>
      <w:r>
        <w:rPr>
          <w:rFonts w:cstheme="minorHAnsi"/>
          <w:sz w:val="22"/>
          <w:szCs w:val="22"/>
        </w:rPr>
        <w:t>, zbrinjavanja napuštenih životinja i uređenja kanalske mreže.</w:t>
      </w:r>
    </w:p>
    <w:p w14:paraId="6711FDD8" w14:textId="4BC7014B" w:rsidR="00845ABE" w:rsidRPr="00000576" w:rsidRDefault="00845AB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Ostali nespomenuti rashodi poslovanja </w:t>
      </w:r>
      <w:r w:rsidR="00E67766">
        <w:rPr>
          <w:rFonts w:cstheme="minorHAnsi"/>
          <w:sz w:val="22"/>
          <w:szCs w:val="22"/>
        </w:rPr>
        <w:t xml:space="preserve">ostvareni su iznosu od </w:t>
      </w:r>
      <w:r w:rsidR="005B1DE6" w:rsidRPr="005B1DE6">
        <w:rPr>
          <w:rFonts w:cstheme="minorHAnsi"/>
          <w:sz w:val="22"/>
          <w:szCs w:val="22"/>
        </w:rPr>
        <w:t>7.205,69</w:t>
      </w:r>
      <w:r w:rsidR="005B1DE6">
        <w:rPr>
          <w:rFonts w:cstheme="minorHAnsi"/>
          <w:sz w:val="22"/>
          <w:szCs w:val="22"/>
        </w:rPr>
        <w:t xml:space="preserve"> eura</w:t>
      </w:r>
      <w:r w:rsidR="00E67766">
        <w:rPr>
          <w:rFonts w:cstheme="minorHAnsi"/>
          <w:sz w:val="22"/>
          <w:szCs w:val="22"/>
        </w:rPr>
        <w:t xml:space="preserve">, a </w:t>
      </w:r>
      <w:r w:rsidRPr="00000576">
        <w:rPr>
          <w:rFonts w:cstheme="minorHAnsi"/>
          <w:sz w:val="22"/>
          <w:szCs w:val="22"/>
        </w:rPr>
        <w:t xml:space="preserve">obuhvaćaju </w:t>
      </w:r>
      <w:r w:rsidR="00AF0D77" w:rsidRPr="00000576">
        <w:rPr>
          <w:rFonts w:cstheme="minorHAnsi"/>
          <w:sz w:val="22"/>
          <w:szCs w:val="22"/>
        </w:rPr>
        <w:t xml:space="preserve">rashode kao što su </w:t>
      </w:r>
      <w:r w:rsidR="00E77D1E" w:rsidRPr="00E77D1E">
        <w:rPr>
          <w:rFonts w:cstheme="minorHAnsi"/>
          <w:sz w:val="22"/>
          <w:szCs w:val="22"/>
        </w:rPr>
        <w:t>reprezentacij</w:t>
      </w:r>
      <w:r w:rsidR="00E77D1E">
        <w:rPr>
          <w:rFonts w:cstheme="minorHAnsi"/>
          <w:sz w:val="22"/>
          <w:szCs w:val="22"/>
        </w:rPr>
        <w:t>a</w:t>
      </w:r>
      <w:r w:rsidR="00E77D1E" w:rsidRPr="00E77D1E">
        <w:rPr>
          <w:rFonts w:cstheme="minorHAnsi"/>
          <w:sz w:val="22"/>
          <w:szCs w:val="22"/>
        </w:rPr>
        <w:t xml:space="preserve">, </w:t>
      </w:r>
      <w:r w:rsidR="00A42AC6">
        <w:rPr>
          <w:rFonts w:cstheme="minorHAnsi"/>
          <w:sz w:val="22"/>
          <w:szCs w:val="22"/>
        </w:rPr>
        <w:t>troškovi javnih bilježnika,</w:t>
      </w:r>
      <w:r w:rsidR="00A42AC6" w:rsidRPr="00000576">
        <w:rPr>
          <w:rFonts w:cstheme="minorHAnsi"/>
          <w:sz w:val="22"/>
          <w:szCs w:val="22"/>
        </w:rPr>
        <w:t xml:space="preserve"> pristojbe</w:t>
      </w:r>
      <w:r w:rsidR="00A42AC6">
        <w:rPr>
          <w:rFonts w:cstheme="minorHAnsi"/>
          <w:sz w:val="22"/>
          <w:szCs w:val="22"/>
        </w:rPr>
        <w:t>,</w:t>
      </w:r>
      <w:r w:rsidR="00A42AC6" w:rsidRPr="00E77D1E">
        <w:rPr>
          <w:rFonts w:cstheme="minorHAnsi"/>
          <w:sz w:val="22"/>
          <w:szCs w:val="22"/>
        </w:rPr>
        <w:t xml:space="preserve"> </w:t>
      </w:r>
      <w:r w:rsidR="00E77D1E" w:rsidRPr="00E77D1E">
        <w:rPr>
          <w:rFonts w:cstheme="minorHAnsi"/>
          <w:sz w:val="22"/>
          <w:szCs w:val="22"/>
        </w:rPr>
        <w:t>članarine i druge nespomenute rashode poslovanja</w:t>
      </w:r>
      <w:r w:rsidRPr="00000576">
        <w:rPr>
          <w:rFonts w:cstheme="minorHAnsi"/>
          <w:sz w:val="22"/>
          <w:szCs w:val="22"/>
        </w:rPr>
        <w:t>.</w:t>
      </w:r>
    </w:p>
    <w:p w14:paraId="384434CA" w14:textId="6039F063" w:rsidR="006726D0" w:rsidRPr="00000576" w:rsidRDefault="006726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2BAA03BF" w14:textId="0E85C87A" w:rsidR="001924E7" w:rsidRPr="00F40BBA" w:rsidRDefault="00F40BBA" w:rsidP="00165728">
      <w:pPr>
        <w:pStyle w:val="Heading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16" w:name="_Toc144891694"/>
      <w:r w:rsidRPr="00F40BBA">
        <w:rPr>
          <w:b/>
          <w:caps w:val="0"/>
          <w:sz w:val="22"/>
        </w:rPr>
        <w:t>Financijski rashodi</w:t>
      </w:r>
      <w:bookmarkEnd w:id="16"/>
    </w:p>
    <w:p w14:paraId="345E927A" w14:textId="2A541623" w:rsidR="003C1908" w:rsidRPr="00140F2C" w:rsidRDefault="001924E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140F2C">
        <w:rPr>
          <w:rFonts w:cstheme="minorHAnsi"/>
          <w:sz w:val="22"/>
          <w:szCs w:val="22"/>
        </w:rPr>
        <w:t xml:space="preserve">Financijski rashodi su ostvareni u iznosu od </w:t>
      </w:r>
      <w:r w:rsidR="00140F2C" w:rsidRPr="00140F2C">
        <w:rPr>
          <w:rFonts w:cstheme="minorHAnsi"/>
          <w:sz w:val="22"/>
          <w:szCs w:val="22"/>
        </w:rPr>
        <w:t>5.118,09</w:t>
      </w:r>
      <w:r w:rsidR="00140F2C">
        <w:rPr>
          <w:rFonts w:cstheme="minorHAnsi"/>
          <w:sz w:val="22"/>
          <w:szCs w:val="22"/>
        </w:rPr>
        <w:t xml:space="preserve"> eura</w:t>
      </w:r>
      <w:r w:rsidRPr="00140F2C">
        <w:rPr>
          <w:rFonts w:cstheme="minorHAnsi"/>
          <w:sz w:val="22"/>
          <w:szCs w:val="22"/>
        </w:rPr>
        <w:t xml:space="preserve"> čime je ostvareno </w:t>
      </w:r>
      <w:r w:rsidR="00140F2C">
        <w:rPr>
          <w:rFonts w:cstheme="minorHAnsi"/>
          <w:sz w:val="22"/>
          <w:szCs w:val="22"/>
        </w:rPr>
        <w:t>31,21</w:t>
      </w:r>
      <w:r w:rsidRPr="00140F2C">
        <w:rPr>
          <w:rFonts w:cstheme="minorHAnsi"/>
          <w:sz w:val="22"/>
          <w:szCs w:val="22"/>
        </w:rPr>
        <w:t>% Plana za 20</w:t>
      </w:r>
      <w:r w:rsidR="003C6F29" w:rsidRPr="00140F2C">
        <w:rPr>
          <w:rFonts w:cstheme="minorHAnsi"/>
          <w:sz w:val="22"/>
          <w:szCs w:val="22"/>
        </w:rPr>
        <w:t>2</w:t>
      </w:r>
      <w:r w:rsidR="00140F2C">
        <w:rPr>
          <w:rFonts w:cstheme="minorHAnsi"/>
          <w:sz w:val="22"/>
          <w:szCs w:val="22"/>
        </w:rPr>
        <w:t>3</w:t>
      </w:r>
      <w:r w:rsidRPr="00140F2C">
        <w:rPr>
          <w:rFonts w:cstheme="minorHAnsi"/>
          <w:sz w:val="22"/>
          <w:szCs w:val="22"/>
        </w:rPr>
        <w:t xml:space="preserve">. godinu. U usporedbi s prethodnom godinom financijski rashodi </w:t>
      </w:r>
      <w:r w:rsidR="00331E1E" w:rsidRPr="00140F2C">
        <w:rPr>
          <w:rFonts w:cstheme="minorHAnsi"/>
          <w:sz w:val="22"/>
          <w:szCs w:val="22"/>
        </w:rPr>
        <w:t>smanjeni su</w:t>
      </w:r>
      <w:r w:rsidRPr="00140F2C">
        <w:rPr>
          <w:rFonts w:cstheme="minorHAnsi"/>
          <w:sz w:val="22"/>
          <w:szCs w:val="22"/>
        </w:rPr>
        <w:t xml:space="preserve"> za</w:t>
      </w:r>
      <w:r w:rsidR="003C6F29" w:rsidRPr="00140F2C">
        <w:rPr>
          <w:rFonts w:cstheme="minorHAnsi"/>
          <w:sz w:val="22"/>
          <w:szCs w:val="22"/>
        </w:rPr>
        <w:t xml:space="preserve"> </w:t>
      </w:r>
      <w:r w:rsidR="00140F2C">
        <w:rPr>
          <w:rFonts w:cstheme="minorHAnsi"/>
          <w:sz w:val="22"/>
          <w:szCs w:val="22"/>
        </w:rPr>
        <w:t>30,41</w:t>
      </w:r>
      <w:r w:rsidR="003C1908" w:rsidRPr="00140F2C">
        <w:rPr>
          <w:rFonts w:cstheme="minorHAnsi"/>
          <w:sz w:val="22"/>
          <w:szCs w:val="22"/>
        </w:rPr>
        <w:t>%.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140F2C" w:rsidRPr="00140F2C" w14:paraId="6947EF04" w14:textId="77777777" w:rsidTr="00140F2C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3FB2CF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BB6479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0A556C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7BC415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1E4E24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A8A64D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00AF0A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140F2C" w:rsidRPr="00140F2C" w14:paraId="6D3419A5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7A96B3C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9839D2A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93108DC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92DA708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76D9FD8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399F551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64E1B8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140F2C" w:rsidRPr="00140F2C" w14:paraId="69B6A865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C8CBED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43F5AC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4B8A2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7.354,11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9BCDAF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2E7A3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5.118,09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130F9C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69,59%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8AAA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31,21%</w:t>
            </w:r>
          </w:p>
        </w:tc>
      </w:tr>
      <w:tr w:rsidR="00140F2C" w:rsidRPr="00140F2C" w14:paraId="174D1980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6728A6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8F28BE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1AE2F5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4.225,84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8193FD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7399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2.858,00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08FFD2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67,63%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C3F9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25,98%</w:t>
            </w:r>
          </w:p>
        </w:tc>
      </w:tr>
      <w:tr w:rsidR="00140F2C" w:rsidRPr="00140F2C" w14:paraId="617926CD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D80883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3423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CB483C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9ED394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4.225,84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27ADEE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48632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2.858,00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105AA3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67,63%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1CAAE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25,98%</w:t>
            </w:r>
          </w:p>
        </w:tc>
      </w:tr>
      <w:tr w:rsidR="00140F2C" w:rsidRPr="00140F2C" w14:paraId="218E52AF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D280DD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A6A681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4E856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3.128,27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60480F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B95585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2.260,09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12A2B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72,25%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0054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41,85%</w:t>
            </w:r>
          </w:p>
        </w:tc>
      </w:tr>
      <w:tr w:rsidR="00140F2C" w:rsidRPr="00140F2C" w14:paraId="64C7C05C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06D7F1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97269E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B17529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830,07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E85FBD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ADB830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648,76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80042C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78,16%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D3D7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27,03%</w:t>
            </w:r>
          </w:p>
        </w:tc>
      </w:tr>
      <w:tr w:rsidR="00140F2C" w:rsidRPr="00140F2C" w14:paraId="59C1229A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2B80C8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F8600F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89EC6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2.298,20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3EF3CD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BC4C7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1.611,33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59072B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70,11%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E6A6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53,71%</w:t>
            </w:r>
          </w:p>
        </w:tc>
      </w:tr>
    </w:tbl>
    <w:p w14:paraId="11CA18FB" w14:textId="05F6E3C3" w:rsidR="001924E7" w:rsidRDefault="00A2762C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Navedeni rashodi obuhvaćaju kamate za primljene kredite</w:t>
      </w:r>
      <w:r w:rsidR="003C6F29" w:rsidRPr="00000576">
        <w:rPr>
          <w:rFonts w:cstheme="minorHAnsi"/>
          <w:sz w:val="22"/>
          <w:szCs w:val="22"/>
        </w:rPr>
        <w:t xml:space="preserve"> i zajmove</w:t>
      </w:r>
      <w:r w:rsidRPr="00000576">
        <w:rPr>
          <w:rFonts w:cstheme="minorHAnsi"/>
          <w:sz w:val="22"/>
          <w:szCs w:val="22"/>
        </w:rPr>
        <w:t xml:space="preserve">, naknade za usluge platnog prometa i ostale bankarske usluge. </w:t>
      </w:r>
    </w:p>
    <w:p w14:paraId="3060FE5A" w14:textId="77777777" w:rsidR="00C340D3" w:rsidRPr="00000576" w:rsidRDefault="00C340D3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CECC047" w14:textId="78D69E52" w:rsidR="00624965" w:rsidRPr="00F40BBA" w:rsidRDefault="00F40BBA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7" w:name="_Toc144891695"/>
      <w:r w:rsidRPr="00F40BBA">
        <w:rPr>
          <w:b/>
          <w:caps w:val="0"/>
          <w:sz w:val="22"/>
        </w:rPr>
        <w:t>Subvencije</w:t>
      </w:r>
      <w:bookmarkEnd w:id="17"/>
    </w:p>
    <w:p w14:paraId="03450EE8" w14:textId="46871575" w:rsidR="00624965" w:rsidRDefault="0048366B" w:rsidP="00F40BBA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48366B">
        <w:rPr>
          <w:rFonts w:cstheme="minorHAnsi"/>
          <w:bCs/>
          <w:sz w:val="22"/>
          <w:szCs w:val="22"/>
        </w:rPr>
        <w:t>Subvencije nisu ostvarene u promatranom razdoblju, a odnose se na subvencije poljoprivrednicima za registraciju traktora i priključnih vozila, te provođenje edukacije poljoprivrednika.</w:t>
      </w:r>
      <w:r>
        <w:rPr>
          <w:rFonts w:cstheme="minorHAnsi"/>
          <w:bCs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140F2C" w:rsidRPr="00140F2C" w14:paraId="37CF7CB2" w14:textId="77777777" w:rsidTr="00140F2C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AD409E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94DE3D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1EB920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B10134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87F60A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F6C8C7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8170C2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140F2C" w:rsidRPr="00140F2C" w14:paraId="31897C8E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DEF97AD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B9A879C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2515B9D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6347E1D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6D6DD79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BFB5AFA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DDF193" w14:textId="77777777" w:rsidR="00140F2C" w:rsidRPr="00140F2C" w:rsidRDefault="00140F2C" w:rsidP="00140F2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140F2C" w:rsidRPr="00140F2C" w14:paraId="003D233D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7C1980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EAE2AB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06A98A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A307CD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6EEFD4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F3863C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8D0E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40F2C" w:rsidRPr="00140F2C" w14:paraId="6FE479E8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D83C5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3507A5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72F617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57D68E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EC559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75D746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80A9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140F2C" w:rsidRPr="00140F2C" w14:paraId="0AB08402" w14:textId="77777777" w:rsidTr="00140F2C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25A10F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A085F4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Subvencije poljoprivrednicima i obrtnicima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3FC2BF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1F02D0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BBAEEB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2408A" w14:textId="77777777" w:rsidR="00140F2C" w:rsidRPr="00140F2C" w:rsidRDefault="00140F2C" w:rsidP="00140F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2DFCD" w14:textId="77777777" w:rsidR="00140F2C" w:rsidRPr="00140F2C" w:rsidRDefault="00140F2C" w:rsidP="00140F2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40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635F44A9" w14:textId="77777777" w:rsidR="00F40BBA" w:rsidRPr="00000576" w:rsidRDefault="00F40BBA" w:rsidP="00331E1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4A5C810C" w14:textId="412EF2FD" w:rsidR="00624965" w:rsidRPr="00F40BBA" w:rsidRDefault="00F40BBA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8" w:name="_Toc144891696"/>
      <w:r w:rsidRPr="00F40BBA">
        <w:rPr>
          <w:b/>
          <w:caps w:val="0"/>
          <w:sz w:val="22"/>
        </w:rPr>
        <w:t>Pomoći dane u inozemstvo i unutar općeg proračuna</w:t>
      </w:r>
      <w:bookmarkEnd w:id="18"/>
      <w:r w:rsidRPr="00F40BBA">
        <w:rPr>
          <w:b/>
          <w:caps w:val="0"/>
          <w:sz w:val="22"/>
        </w:rPr>
        <w:t xml:space="preserve"> </w:t>
      </w:r>
    </w:p>
    <w:p w14:paraId="0BCEABD6" w14:textId="4B13136A" w:rsidR="00624965" w:rsidRDefault="00624965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395275">
        <w:rPr>
          <w:rFonts w:cstheme="minorHAnsi"/>
          <w:bCs/>
          <w:sz w:val="22"/>
          <w:szCs w:val="22"/>
        </w:rPr>
        <w:t xml:space="preserve">Pomoći dane u inozemstvo i unutar općeg proračuna ostvarene su u iznosu od </w:t>
      </w:r>
      <w:r w:rsidR="0048366B" w:rsidRPr="0048366B">
        <w:rPr>
          <w:rFonts w:cstheme="minorHAnsi"/>
          <w:bCs/>
          <w:sz w:val="22"/>
          <w:szCs w:val="22"/>
        </w:rPr>
        <w:t>4.283,03</w:t>
      </w:r>
      <w:r w:rsidR="0048366B">
        <w:rPr>
          <w:rFonts w:cstheme="minorHAnsi"/>
          <w:bCs/>
          <w:sz w:val="22"/>
          <w:szCs w:val="22"/>
        </w:rPr>
        <w:t xml:space="preserve"> eura</w:t>
      </w:r>
      <w:r w:rsidRPr="00395275">
        <w:rPr>
          <w:rFonts w:cstheme="minorHAnsi"/>
          <w:bCs/>
          <w:sz w:val="22"/>
          <w:szCs w:val="22"/>
        </w:rPr>
        <w:t xml:space="preserve">, te je tako </w:t>
      </w:r>
      <w:r w:rsidR="00331E1E" w:rsidRPr="00395275">
        <w:rPr>
          <w:rFonts w:cstheme="minorHAnsi"/>
          <w:bCs/>
          <w:sz w:val="22"/>
          <w:szCs w:val="22"/>
        </w:rPr>
        <w:t xml:space="preserve">realizirano </w:t>
      </w:r>
      <w:r w:rsidR="0048366B">
        <w:rPr>
          <w:rFonts w:cstheme="minorHAnsi"/>
          <w:bCs/>
          <w:sz w:val="22"/>
          <w:szCs w:val="22"/>
        </w:rPr>
        <w:t>57,88</w:t>
      </w:r>
      <w:r w:rsidRPr="00395275">
        <w:rPr>
          <w:rFonts w:cstheme="minorHAnsi"/>
          <w:bCs/>
          <w:sz w:val="22"/>
          <w:szCs w:val="22"/>
        </w:rPr>
        <w:t>% plana za 202</w:t>
      </w:r>
      <w:r w:rsidR="0048366B">
        <w:rPr>
          <w:rFonts w:cstheme="minorHAnsi"/>
          <w:bCs/>
          <w:sz w:val="22"/>
          <w:szCs w:val="22"/>
        </w:rPr>
        <w:t>3</w:t>
      </w:r>
      <w:r w:rsidRPr="00395275">
        <w:rPr>
          <w:rFonts w:cstheme="minorHAnsi"/>
          <w:bCs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48366B" w:rsidRPr="0048366B" w14:paraId="4F18B66E" w14:textId="77777777" w:rsidTr="0048366B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8251AC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8427FF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FF4CC8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318B1D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B2DE7B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0DF3C5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4D934D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48366B" w:rsidRPr="0048366B" w14:paraId="60E0C5E0" w14:textId="77777777" w:rsidTr="0048366B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21B826A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466D7EC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8767A84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446D538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C6EB930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EC312E0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B7C3D5" w14:textId="77777777" w:rsidR="0048366B" w:rsidRPr="0048366B" w:rsidRDefault="0048366B" w:rsidP="004836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48366B" w:rsidRPr="0048366B" w14:paraId="2B67082A" w14:textId="77777777" w:rsidTr="0048366B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141A30" w14:textId="77777777" w:rsidR="0048366B" w:rsidRPr="0048366B" w:rsidRDefault="0048366B" w:rsidP="0048366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D67EC" w14:textId="77777777" w:rsidR="0048366B" w:rsidRPr="0048366B" w:rsidRDefault="0048366B" w:rsidP="0048366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C8A353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4.120,75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2E71C7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CFDC33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4.283,03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3F6281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103,94%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29767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57,88%</w:t>
            </w:r>
          </w:p>
        </w:tc>
      </w:tr>
      <w:tr w:rsidR="0048366B" w:rsidRPr="0048366B" w14:paraId="2D2A0324" w14:textId="77777777" w:rsidTr="0048366B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B0F126" w14:textId="77777777" w:rsidR="0048366B" w:rsidRPr="0048366B" w:rsidRDefault="0048366B" w:rsidP="004836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019FE" w14:textId="77777777" w:rsidR="0048366B" w:rsidRPr="0048366B" w:rsidRDefault="0048366B" w:rsidP="004836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2014A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4.120,75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482975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6B427A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4.283,03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E1F50C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103,94%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A614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57,88%</w:t>
            </w:r>
          </w:p>
        </w:tc>
      </w:tr>
      <w:tr w:rsidR="0048366B" w:rsidRPr="0048366B" w14:paraId="1AC461DE" w14:textId="77777777" w:rsidTr="0048366B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C7468F" w14:textId="77777777" w:rsidR="0048366B" w:rsidRPr="0048366B" w:rsidRDefault="0048366B" w:rsidP="004836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3661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EAA48E" w14:textId="77777777" w:rsidR="0048366B" w:rsidRPr="0048366B" w:rsidRDefault="0048366B" w:rsidP="004836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Tekuće pomoći proračunskim korisnicima drugih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B7B5CC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4.120,75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647A1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689FC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4.283,03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85F9D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103,94%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F1E3" w14:textId="77777777" w:rsidR="0048366B" w:rsidRPr="0048366B" w:rsidRDefault="0048366B" w:rsidP="004836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836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57,88%</w:t>
            </w:r>
          </w:p>
        </w:tc>
      </w:tr>
    </w:tbl>
    <w:p w14:paraId="51C72A97" w14:textId="6AA66D77" w:rsidR="00F40BBA" w:rsidRPr="00395275" w:rsidRDefault="00F40BBA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395275">
        <w:rPr>
          <w:rFonts w:cstheme="minorHAnsi"/>
          <w:sz w:val="22"/>
          <w:szCs w:val="22"/>
        </w:rPr>
        <w:t xml:space="preserve">Ova stavka se u potpunosti odnosi na donacije na školstvo, odnosno program </w:t>
      </w:r>
      <w:proofErr w:type="spellStart"/>
      <w:r w:rsidRPr="00395275">
        <w:rPr>
          <w:rFonts w:cstheme="minorHAnsi"/>
          <w:sz w:val="22"/>
          <w:szCs w:val="22"/>
        </w:rPr>
        <w:t>predškole</w:t>
      </w:r>
      <w:proofErr w:type="spellEnd"/>
      <w:r w:rsidRPr="00395275">
        <w:rPr>
          <w:rFonts w:cstheme="minorHAnsi"/>
          <w:sz w:val="22"/>
          <w:szCs w:val="22"/>
        </w:rPr>
        <w:t xml:space="preserve"> i druge</w:t>
      </w:r>
      <w:r w:rsidR="000C7768" w:rsidRPr="00395275">
        <w:rPr>
          <w:rFonts w:cstheme="minorHAnsi"/>
          <w:sz w:val="22"/>
          <w:szCs w:val="22"/>
        </w:rPr>
        <w:t xml:space="preserve"> školske</w:t>
      </w:r>
      <w:r w:rsidRPr="00395275">
        <w:rPr>
          <w:rFonts w:cstheme="minorHAnsi"/>
          <w:sz w:val="22"/>
          <w:szCs w:val="22"/>
        </w:rPr>
        <w:t xml:space="preserve"> potrebe.</w:t>
      </w:r>
    </w:p>
    <w:p w14:paraId="4E4ECB00" w14:textId="77777777" w:rsidR="000C7768" w:rsidRPr="00395275" w:rsidRDefault="000C77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098697FD" w14:textId="737AF838" w:rsidR="005809AA" w:rsidRPr="00C21516" w:rsidRDefault="00C21516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9" w:name="_Toc144891697"/>
      <w:r w:rsidRPr="00C21516">
        <w:rPr>
          <w:b/>
          <w:caps w:val="0"/>
          <w:sz w:val="22"/>
        </w:rPr>
        <w:t>Naknade građanima i kućanstvima na temelju osiguranja i druge naknade</w:t>
      </w:r>
      <w:bookmarkEnd w:id="19"/>
    </w:p>
    <w:p w14:paraId="0B818ABF" w14:textId="324E282E" w:rsidR="005809AA" w:rsidRDefault="005809AA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Naknade građanima i kućanstvima realizirane su u iznosu od</w:t>
      </w:r>
      <w:r w:rsidR="003C6F29" w:rsidRPr="00000576">
        <w:rPr>
          <w:rFonts w:cstheme="minorHAnsi"/>
          <w:sz w:val="22"/>
          <w:szCs w:val="22"/>
        </w:rPr>
        <w:t xml:space="preserve"> </w:t>
      </w:r>
      <w:r w:rsidR="00825D8E" w:rsidRPr="00825D8E">
        <w:rPr>
          <w:rFonts w:cstheme="minorHAnsi"/>
          <w:sz w:val="22"/>
          <w:szCs w:val="22"/>
        </w:rPr>
        <w:t>10.750,82</w:t>
      </w:r>
      <w:r w:rsidR="00825D8E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čime je ostvareno </w:t>
      </w:r>
      <w:r w:rsidR="00825D8E">
        <w:rPr>
          <w:rFonts w:cstheme="minorHAnsi"/>
          <w:sz w:val="22"/>
          <w:szCs w:val="22"/>
        </w:rPr>
        <w:t>40,88</w:t>
      </w:r>
      <w:r w:rsidRPr="00000576">
        <w:rPr>
          <w:rFonts w:cstheme="minorHAnsi"/>
          <w:sz w:val="22"/>
          <w:szCs w:val="22"/>
        </w:rPr>
        <w:t>% Plana. U odnosu na prethodnu godinu</w:t>
      </w:r>
      <w:r w:rsidR="00CE192F" w:rsidRPr="00000576">
        <w:rPr>
          <w:rFonts w:cstheme="minorHAnsi"/>
          <w:sz w:val="22"/>
          <w:szCs w:val="22"/>
        </w:rPr>
        <w:t>,</w:t>
      </w:r>
      <w:r w:rsidRPr="00000576">
        <w:rPr>
          <w:rFonts w:cstheme="minorHAnsi"/>
          <w:sz w:val="22"/>
          <w:szCs w:val="22"/>
        </w:rPr>
        <w:t xml:space="preserve"> bilježimo </w:t>
      </w:r>
      <w:r w:rsidR="00090D6F">
        <w:rPr>
          <w:rFonts w:cstheme="minorHAnsi"/>
          <w:sz w:val="22"/>
          <w:szCs w:val="22"/>
        </w:rPr>
        <w:t>smanjenje</w:t>
      </w:r>
      <w:r w:rsidRPr="00000576">
        <w:rPr>
          <w:rFonts w:cstheme="minorHAnsi"/>
          <w:sz w:val="22"/>
          <w:szCs w:val="22"/>
        </w:rPr>
        <w:t xml:space="preserve"> izdvajanja za </w:t>
      </w:r>
      <w:r w:rsidR="00825D8E">
        <w:rPr>
          <w:rFonts w:cstheme="minorHAnsi"/>
          <w:sz w:val="22"/>
          <w:szCs w:val="22"/>
        </w:rPr>
        <w:t>13,60</w:t>
      </w:r>
      <w:r w:rsidRPr="00000576">
        <w:rPr>
          <w:rFonts w:cstheme="minorHAnsi"/>
          <w:sz w:val="22"/>
          <w:szCs w:val="22"/>
        </w:rPr>
        <w:t>%.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825D8E" w:rsidRPr="00825D8E" w14:paraId="5DA05713" w14:textId="77777777" w:rsidTr="00825D8E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13D3CB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B0CBFD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8EA06B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AD1E48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6FA233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AE438A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61C3C6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825D8E" w:rsidRPr="00825D8E" w14:paraId="467A5E97" w14:textId="77777777" w:rsidTr="00825D8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B394D11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04E64DD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A80241D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0F63E5C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1C31062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3586BF3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3215C8" w14:textId="77777777" w:rsidR="00825D8E" w:rsidRPr="00825D8E" w:rsidRDefault="00825D8E" w:rsidP="00825D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825D8E" w:rsidRPr="00825D8E" w14:paraId="0D691DB4" w14:textId="77777777" w:rsidTr="00825D8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8BA4E4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419719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E4C82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12.443,74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D9FA6E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693AAE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10.750,82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FD148F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86,40%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A6247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40,88%</w:t>
            </w:r>
          </w:p>
        </w:tc>
      </w:tr>
      <w:tr w:rsidR="00825D8E" w:rsidRPr="00825D8E" w14:paraId="13CA06EF" w14:textId="77777777" w:rsidTr="00825D8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A5490D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F03637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5CA230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12.443,74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6ECD8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78F968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10.750,82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04C394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86,40%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D277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40,88%</w:t>
            </w:r>
          </w:p>
        </w:tc>
      </w:tr>
      <w:tr w:rsidR="00825D8E" w:rsidRPr="00825D8E" w14:paraId="2A9BA958" w14:textId="77777777" w:rsidTr="00825D8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8C149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9BEBC7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B11E78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9.770,89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A87A9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21.600,00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31C5D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8.070,01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43D793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20A7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37,36%</w:t>
            </w:r>
          </w:p>
        </w:tc>
      </w:tr>
      <w:tr w:rsidR="00825D8E" w:rsidRPr="00825D8E" w14:paraId="37413DBE" w14:textId="77777777" w:rsidTr="00825D8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C666B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B1DB5B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390CA6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2.672,85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A706F0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C1D55D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2.680,81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234920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F950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57,04%</w:t>
            </w:r>
          </w:p>
        </w:tc>
      </w:tr>
      <w:tr w:rsidR="00825D8E" w:rsidRPr="00825D8E" w14:paraId="25DFC0EA" w14:textId="77777777" w:rsidTr="00825D8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EA6708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7F82E9" w14:textId="77777777" w:rsidR="00825D8E" w:rsidRPr="00825D8E" w:rsidRDefault="00825D8E" w:rsidP="00825D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CDF8CA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2.672,85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CE368C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0F788B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2.680,81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0449D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505E4" w14:textId="77777777" w:rsidR="00825D8E" w:rsidRPr="00825D8E" w:rsidRDefault="00825D8E" w:rsidP="00825D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25D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57,04%</w:t>
            </w:r>
          </w:p>
        </w:tc>
      </w:tr>
    </w:tbl>
    <w:p w14:paraId="2F08657F" w14:textId="14EA2691" w:rsidR="00090D6F" w:rsidRPr="00090D6F" w:rsidRDefault="00090D6F" w:rsidP="00090D6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D6F">
        <w:rPr>
          <w:rFonts w:cstheme="minorHAnsi"/>
          <w:sz w:val="22"/>
          <w:szCs w:val="22"/>
        </w:rPr>
        <w:t xml:space="preserve">Naknade građanima i kućanstvima obuhvaćaju naknade građanima u novcu i naravi a odnose se na sufinanciranje troškova </w:t>
      </w:r>
      <w:r w:rsidR="000729BA">
        <w:rPr>
          <w:rFonts w:cstheme="minorHAnsi"/>
          <w:sz w:val="22"/>
          <w:szCs w:val="22"/>
        </w:rPr>
        <w:t>stanovanja sukladno Odluci o socijalnoj skrbi</w:t>
      </w:r>
      <w:r w:rsidRPr="00090D6F">
        <w:rPr>
          <w:rFonts w:cstheme="minorHAnsi"/>
          <w:sz w:val="22"/>
          <w:szCs w:val="22"/>
        </w:rPr>
        <w:t xml:space="preserve"> (</w:t>
      </w:r>
      <w:r w:rsidR="00825D8E" w:rsidRPr="00825D8E">
        <w:rPr>
          <w:rFonts w:cstheme="minorHAnsi"/>
          <w:sz w:val="22"/>
          <w:szCs w:val="22"/>
        </w:rPr>
        <w:t>1.143,72</w:t>
      </w:r>
      <w:r w:rsidR="00825D8E">
        <w:rPr>
          <w:rFonts w:cstheme="minorHAnsi"/>
          <w:sz w:val="22"/>
          <w:szCs w:val="22"/>
        </w:rPr>
        <w:t xml:space="preserve"> eura</w:t>
      </w:r>
      <w:r w:rsidRPr="00090D6F">
        <w:rPr>
          <w:rFonts w:cstheme="minorHAnsi"/>
          <w:sz w:val="22"/>
          <w:szCs w:val="22"/>
        </w:rPr>
        <w:t xml:space="preserve">), </w:t>
      </w:r>
      <w:r w:rsidR="000729BA">
        <w:rPr>
          <w:rFonts w:cstheme="minorHAnsi"/>
          <w:sz w:val="22"/>
          <w:szCs w:val="22"/>
        </w:rPr>
        <w:t xml:space="preserve">kao i </w:t>
      </w:r>
      <w:proofErr w:type="spellStart"/>
      <w:r w:rsidRPr="00090D6F">
        <w:rPr>
          <w:rFonts w:cstheme="minorHAnsi"/>
          <w:sz w:val="22"/>
          <w:szCs w:val="22"/>
        </w:rPr>
        <w:t>porodiljne</w:t>
      </w:r>
      <w:proofErr w:type="spellEnd"/>
      <w:r w:rsidRPr="00090D6F">
        <w:rPr>
          <w:rFonts w:cstheme="minorHAnsi"/>
          <w:sz w:val="22"/>
          <w:szCs w:val="22"/>
        </w:rPr>
        <w:t xml:space="preserve"> naknade (</w:t>
      </w:r>
      <w:r w:rsidR="00825D8E" w:rsidRPr="00825D8E">
        <w:rPr>
          <w:rFonts w:cstheme="minorHAnsi"/>
          <w:sz w:val="22"/>
          <w:szCs w:val="22"/>
        </w:rPr>
        <w:t>2.256,29</w:t>
      </w:r>
      <w:r w:rsidR="00825D8E">
        <w:rPr>
          <w:rFonts w:cstheme="minorHAnsi"/>
          <w:sz w:val="22"/>
          <w:szCs w:val="22"/>
        </w:rPr>
        <w:t xml:space="preserve"> eura</w:t>
      </w:r>
      <w:r w:rsidRPr="00090D6F">
        <w:rPr>
          <w:rFonts w:cstheme="minorHAnsi"/>
          <w:sz w:val="22"/>
          <w:szCs w:val="22"/>
        </w:rPr>
        <w:t xml:space="preserve">). </w:t>
      </w:r>
    </w:p>
    <w:p w14:paraId="2C8ECFE8" w14:textId="1C7466C0" w:rsidR="00090D6F" w:rsidRDefault="00090D6F" w:rsidP="00090D6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D6F">
        <w:rPr>
          <w:rFonts w:cstheme="minorHAnsi"/>
          <w:sz w:val="22"/>
          <w:szCs w:val="22"/>
        </w:rPr>
        <w:t>Ova stavka također obuhvaća sufinanciranje prijevoza učenika (</w:t>
      </w:r>
      <w:r w:rsidR="00825D8E" w:rsidRPr="00825D8E">
        <w:rPr>
          <w:rFonts w:cstheme="minorHAnsi"/>
          <w:sz w:val="22"/>
          <w:szCs w:val="22"/>
        </w:rPr>
        <w:t>2.680,81</w:t>
      </w:r>
      <w:r w:rsidR="00825D8E">
        <w:rPr>
          <w:rFonts w:cstheme="minorHAnsi"/>
          <w:sz w:val="22"/>
          <w:szCs w:val="22"/>
        </w:rPr>
        <w:t xml:space="preserve"> eura</w:t>
      </w:r>
      <w:r w:rsidRPr="00090D6F">
        <w:rPr>
          <w:rFonts w:cstheme="minorHAnsi"/>
          <w:sz w:val="22"/>
          <w:szCs w:val="22"/>
        </w:rPr>
        <w:t xml:space="preserve">), </w:t>
      </w:r>
      <w:proofErr w:type="spellStart"/>
      <w:r w:rsidRPr="00090D6F">
        <w:rPr>
          <w:rFonts w:cstheme="minorHAnsi"/>
          <w:sz w:val="22"/>
          <w:szCs w:val="22"/>
        </w:rPr>
        <w:t>uskrsnice</w:t>
      </w:r>
      <w:proofErr w:type="spellEnd"/>
      <w:r w:rsidRPr="00090D6F">
        <w:rPr>
          <w:rFonts w:cstheme="minorHAnsi"/>
          <w:sz w:val="22"/>
          <w:szCs w:val="22"/>
        </w:rPr>
        <w:t xml:space="preserve"> umirovljenicima (</w:t>
      </w:r>
      <w:r w:rsidR="00825D8E" w:rsidRPr="00825D8E">
        <w:rPr>
          <w:rFonts w:cstheme="minorHAnsi"/>
          <w:sz w:val="22"/>
          <w:szCs w:val="22"/>
        </w:rPr>
        <w:t>4.020,00</w:t>
      </w:r>
      <w:r w:rsidR="00825D8E">
        <w:rPr>
          <w:rFonts w:cstheme="minorHAnsi"/>
          <w:sz w:val="22"/>
          <w:szCs w:val="22"/>
        </w:rPr>
        <w:t xml:space="preserve"> eura</w:t>
      </w:r>
      <w:r w:rsidRPr="00090D6F">
        <w:rPr>
          <w:rFonts w:cstheme="minorHAnsi"/>
          <w:sz w:val="22"/>
          <w:szCs w:val="22"/>
        </w:rPr>
        <w:t>) i druge pomoći studentima i učenicima (</w:t>
      </w:r>
      <w:r w:rsidR="00825D8E" w:rsidRPr="00825D8E">
        <w:rPr>
          <w:rFonts w:cstheme="minorHAnsi"/>
          <w:sz w:val="22"/>
          <w:szCs w:val="22"/>
        </w:rPr>
        <w:t>650,00</w:t>
      </w:r>
      <w:r w:rsidR="00825D8E">
        <w:rPr>
          <w:rFonts w:cstheme="minorHAnsi"/>
          <w:sz w:val="22"/>
          <w:szCs w:val="22"/>
        </w:rPr>
        <w:t xml:space="preserve"> eura</w:t>
      </w:r>
      <w:r w:rsidRPr="00090D6F">
        <w:rPr>
          <w:rFonts w:cstheme="minorHAnsi"/>
          <w:sz w:val="22"/>
          <w:szCs w:val="22"/>
        </w:rPr>
        <w:t>).</w:t>
      </w:r>
    </w:p>
    <w:p w14:paraId="074F3A94" w14:textId="77777777" w:rsidR="00C21516" w:rsidRPr="00000576" w:rsidRDefault="00C215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55DCC3D" w14:textId="37B00937" w:rsidR="00223645" w:rsidRPr="00CD1979" w:rsidRDefault="00CD1979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0" w:name="_Toc144891698"/>
      <w:r w:rsidRPr="00CD1979">
        <w:rPr>
          <w:b/>
          <w:caps w:val="0"/>
          <w:sz w:val="22"/>
        </w:rPr>
        <w:t>Ostali rashodi</w:t>
      </w:r>
      <w:bookmarkEnd w:id="20"/>
    </w:p>
    <w:p w14:paraId="0A711129" w14:textId="5B66F747" w:rsidR="003B4D0E" w:rsidRPr="00EE7E0D" w:rsidRDefault="003B4D0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EE7E0D">
        <w:rPr>
          <w:rFonts w:cstheme="minorHAnsi"/>
          <w:sz w:val="22"/>
          <w:szCs w:val="22"/>
        </w:rPr>
        <w:t xml:space="preserve">Ostali rashodi su kroz tekuće donacije realizirani u iznosu od </w:t>
      </w:r>
      <w:r w:rsidR="00161D46" w:rsidRPr="00161D46">
        <w:rPr>
          <w:rFonts w:cstheme="minorHAnsi"/>
          <w:sz w:val="22"/>
          <w:szCs w:val="22"/>
        </w:rPr>
        <w:t>23.812,00</w:t>
      </w:r>
      <w:r w:rsidR="00161D46">
        <w:rPr>
          <w:rFonts w:cstheme="minorHAnsi"/>
          <w:sz w:val="22"/>
          <w:szCs w:val="22"/>
        </w:rPr>
        <w:t xml:space="preserve"> eura</w:t>
      </w:r>
      <w:r w:rsidR="001003E5" w:rsidRPr="00EE7E0D">
        <w:rPr>
          <w:rFonts w:cstheme="minorHAnsi"/>
          <w:sz w:val="22"/>
          <w:szCs w:val="22"/>
        </w:rPr>
        <w:t xml:space="preserve">, </w:t>
      </w:r>
      <w:r w:rsidR="00161D46">
        <w:rPr>
          <w:rFonts w:cstheme="minorHAnsi"/>
          <w:sz w:val="22"/>
          <w:szCs w:val="22"/>
        </w:rPr>
        <w:t>te su izvršene na razini prethodne godine, a realizirano je 58,87% Plana za 2023. godinu</w:t>
      </w:r>
      <w:r w:rsidRPr="00EE7E0D">
        <w:rPr>
          <w:rFonts w:cstheme="minorHAnsi"/>
          <w:sz w:val="22"/>
          <w:szCs w:val="22"/>
        </w:rPr>
        <w:t xml:space="preserve">. </w:t>
      </w:r>
    </w:p>
    <w:p w14:paraId="2EAC12EF" w14:textId="76A1F758" w:rsidR="003B4D0E" w:rsidRDefault="001003E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T</w:t>
      </w:r>
      <w:r w:rsidR="003B4D0E" w:rsidRPr="00000576">
        <w:rPr>
          <w:rFonts w:cstheme="minorHAnsi"/>
          <w:sz w:val="22"/>
          <w:szCs w:val="22"/>
        </w:rPr>
        <w:t>ekuć</w:t>
      </w:r>
      <w:r w:rsidRPr="00000576">
        <w:rPr>
          <w:rFonts w:cstheme="minorHAnsi"/>
          <w:sz w:val="22"/>
          <w:szCs w:val="22"/>
        </w:rPr>
        <w:t>im</w:t>
      </w:r>
      <w:r w:rsidR="003B4D0E" w:rsidRPr="00000576">
        <w:rPr>
          <w:rFonts w:cstheme="minorHAnsi"/>
          <w:sz w:val="22"/>
          <w:szCs w:val="22"/>
        </w:rPr>
        <w:t xml:space="preserve"> donacij</w:t>
      </w:r>
      <w:r w:rsidRPr="00000576">
        <w:rPr>
          <w:rFonts w:cstheme="minorHAnsi"/>
          <w:sz w:val="22"/>
          <w:szCs w:val="22"/>
        </w:rPr>
        <w:t>ama</w:t>
      </w:r>
      <w:r w:rsidR="003B4D0E" w:rsidRPr="00000576">
        <w:rPr>
          <w:rFonts w:cstheme="minorHAnsi"/>
          <w:sz w:val="22"/>
          <w:szCs w:val="22"/>
        </w:rPr>
        <w:t xml:space="preserve"> se financira</w:t>
      </w:r>
      <w:r w:rsidR="006200E7">
        <w:rPr>
          <w:rFonts w:cstheme="minorHAnsi"/>
          <w:sz w:val="22"/>
          <w:szCs w:val="22"/>
        </w:rPr>
        <w:t>ju</w:t>
      </w:r>
      <w:r w:rsidR="003B4D0E" w:rsidRPr="00000576">
        <w:rPr>
          <w:rFonts w:cstheme="minorHAnsi"/>
          <w:sz w:val="22"/>
          <w:szCs w:val="22"/>
        </w:rPr>
        <w:t xml:space="preserve"> javne </w:t>
      </w:r>
      <w:r w:rsidR="006200E7">
        <w:rPr>
          <w:rFonts w:cstheme="minorHAnsi"/>
          <w:sz w:val="22"/>
          <w:szCs w:val="22"/>
        </w:rPr>
        <w:t>potrebe u kulturi i</w:t>
      </w:r>
      <w:r w:rsidR="003B4D0E" w:rsidRPr="00000576">
        <w:rPr>
          <w:rFonts w:cstheme="minorHAnsi"/>
          <w:sz w:val="22"/>
          <w:szCs w:val="22"/>
        </w:rPr>
        <w:t xml:space="preserve"> sportu, te rad humanitarnih, vjerskih, protupožarnih i ostalih udruga.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161D46" w:rsidRPr="00161D46" w14:paraId="7945A1CD" w14:textId="77777777" w:rsidTr="00161D46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026541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F33C04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523148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396A1A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A84434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4D7A26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53D601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161D46" w:rsidRPr="00161D46" w14:paraId="296A10D0" w14:textId="77777777" w:rsidTr="00161D46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F5D3393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5908337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406B5B8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075F411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820E7B3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165885B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2CEC17" w14:textId="77777777" w:rsidR="00161D46" w:rsidRPr="00161D46" w:rsidRDefault="00161D46" w:rsidP="00161D4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161D46" w:rsidRPr="00161D46" w14:paraId="5FE0B077" w14:textId="77777777" w:rsidTr="00161D46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13C91D" w14:textId="77777777" w:rsidR="00161D46" w:rsidRPr="00161D46" w:rsidRDefault="00161D46" w:rsidP="00161D4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17374D" w14:textId="77777777" w:rsidR="00161D46" w:rsidRPr="00161D46" w:rsidRDefault="00161D46" w:rsidP="00161D4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B14FAC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24.022,83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A7D5B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40.450,00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80045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23.812,00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EF4CB4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99,12%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E75F9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58,87%</w:t>
            </w:r>
          </w:p>
        </w:tc>
      </w:tr>
      <w:tr w:rsidR="00161D46" w:rsidRPr="00161D46" w14:paraId="23F566A4" w14:textId="77777777" w:rsidTr="00161D46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DEAB5C" w14:textId="77777777" w:rsidR="00161D46" w:rsidRPr="00161D46" w:rsidRDefault="00161D46" w:rsidP="00161D4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60B1FF" w14:textId="77777777" w:rsidR="00161D46" w:rsidRPr="00161D46" w:rsidRDefault="00161D46" w:rsidP="00161D4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99213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24.022,83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85C848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40.450,00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6142C7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23.812,00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4BB737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99,12%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09A8A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58,87%</w:t>
            </w:r>
          </w:p>
        </w:tc>
      </w:tr>
      <w:tr w:rsidR="00161D46" w:rsidRPr="00161D46" w14:paraId="2B47FA2F" w14:textId="77777777" w:rsidTr="00161D46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F787F" w14:textId="77777777" w:rsidR="00161D46" w:rsidRPr="00161D46" w:rsidRDefault="00161D46" w:rsidP="00161D4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6E6E97" w14:textId="77777777" w:rsidR="00161D46" w:rsidRPr="00161D46" w:rsidRDefault="00161D46" w:rsidP="00161D4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955127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24.022,83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704C9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40.450,00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F4EAA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23.812,00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5999B6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99,12%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ABFAC" w14:textId="77777777" w:rsidR="00161D46" w:rsidRPr="00161D46" w:rsidRDefault="00161D46" w:rsidP="00161D4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61D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58,87%</w:t>
            </w:r>
          </w:p>
        </w:tc>
      </w:tr>
    </w:tbl>
    <w:p w14:paraId="0ED413BB" w14:textId="6B84131A" w:rsidR="0028075A" w:rsidRPr="00000576" w:rsidRDefault="0028075A" w:rsidP="006200E7">
      <w:pPr>
        <w:spacing w:before="120" w:after="0" w:line="240" w:lineRule="auto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Tekuće donacije u iznosu od</w:t>
      </w:r>
      <w:r w:rsidR="00F563F0">
        <w:rPr>
          <w:rFonts w:cstheme="minorHAnsi"/>
          <w:sz w:val="22"/>
          <w:szCs w:val="22"/>
        </w:rPr>
        <w:t xml:space="preserve"> </w:t>
      </w:r>
      <w:r w:rsidR="00161D46" w:rsidRPr="00161D46">
        <w:rPr>
          <w:rFonts w:cstheme="minorHAnsi"/>
          <w:sz w:val="22"/>
          <w:szCs w:val="22"/>
        </w:rPr>
        <w:t xml:space="preserve">23.812,00 eura </w:t>
      </w:r>
      <w:r w:rsidRPr="00000576">
        <w:rPr>
          <w:rFonts w:cstheme="minorHAnsi"/>
          <w:sz w:val="22"/>
          <w:szCs w:val="22"/>
        </w:rPr>
        <w:t>mogu</w:t>
      </w:r>
      <w:r w:rsidR="000729BA">
        <w:rPr>
          <w:rFonts w:cstheme="minorHAnsi"/>
          <w:sz w:val="22"/>
          <w:szCs w:val="22"/>
        </w:rPr>
        <w:t xml:space="preserve"> se</w:t>
      </w:r>
      <w:r w:rsidRPr="00000576">
        <w:rPr>
          <w:rFonts w:cstheme="minorHAnsi"/>
          <w:sz w:val="22"/>
          <w:szCs w:val="22"/>
        </w:rPr>
        <w:t xml:space="preserve"> raščlaniti na:</w:t>
      </w:r>
    </w:p>
    <w:p w14:paraId="59B10ABF" w14:textId="53D53997" w:rsidR="00643333" w:rsidRPr="00161D46" w:rsidRDefault="00643333" w:rsidP="00161D46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Tekuće donacije udrugama protupožarne zaštite</w:t>
      </w:r>
      <w:r w:rsidRPr="00161D46">
        <w:rPr>
          <w:rFonts w:cstheme="minorHAnsi"/>
          <w:sz w:val="22"/>
          <w:szCs w:val="22"/>
        </w:rPr>
        <w:tab/>
      </w:r>
      <w:r w:rsidR="00161D46" w:rsidRPr="00161D46">
        <w:rPr>
          <w:rFonts w:cstheme="minorHAnsi"/>
          <w:sz w:val="22"/>
          <w:szCs w:val="22"/>
        </w:rPr>
        <w:t>13.062,00</w:t>
      </w:r>
    </w:p>
    <w:p w14:paraId="75E75296" w14:textId="011DBF1D" w:rsidR="000729BA" w:rsidRPr="00161D46" w:rsidRDefault="000729BA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Crveni križ</w:t>
      </w:r>
      <w:r w:rsidRPr="00161D46">
        <w:rPr>
          <w:rFonts w:cstheme="minorHAnsi"/>
          <w:sz w:val="22"/>
          <w:szCs w:val="22"/>
        </w:rPr>
        <w:tab/>
        <w:t>1.000,00</w:t>
      </w:r>
    </w:p>
    <w:p w14:paraId="77F6323A" w14:textId="2138F7FD" w:rsidR="00643333" w:rsidRPr="00161D46" w:rsidRDefault="00643333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ind w:left="714" w:hanging="357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Hrvatska gorska služba spašavanja</w:t>
      </w:r>
      <w:r w:rsidRPr="00161D46">
        <w:rPr>
          <w:rFonts w:cstheme="minorHAnsi"/>
          <w:sz w:val="22"/>
          <w:szCs w:val="22"/>
        </w:rPr>
        <w:tab/>
      </w:r>
      <w:r w:rsidR="00161D46" w:rsidRPr="00161D46">
        <w:rPr>
          <w:rFonts w:cstheme="minorHAnsi"/>
          <w:sz w:val="22"/>
          <w:szCs w:val="22"/>
        </w:rPr>
        <w:t>1</w:t>
      </w:r>
      <w:r w:rsidRPr="00161D46">
        <w:rPr>
          <w:rFonts w:cstheme="minorHAnsi"/>
          <w:sz w:val="22"/>
          <w:szCs w:val="22"/>
        </w:rPr>
        <w:t>.</w:t>
      </w:r>
      <w:r w:rsidR="00161D46" w:rsidRPr="00161D46">
        <w:rPr>
          <w:rFonts w:cstheme="minorHAnsi"/>
          <w:sz w:val="22"/>
          <w:szCs w:val="22"/>
        </w:rPr>
        <w:t>1</w:t>
      </w:r>
      <w:r w:rsidRPr="00161D46">
        <w:rPr>
          <w:rFonts w:cstheme="minorHAnsi"/>
          <w:sz w:val="22"/>
          <w:szCs w:val="22"/>
        </w:rPr>
        <w:t>00,00</w:t>
      </w:r>
    </w:p>
    <w:p w14:paraId="68D486B9" w14:textId="1F35280F" w:rsidR="0028075A" w:rsidRPr="00161D46" w:rsidRDefault="0028075A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ind w:left="714" w:hanging="357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Tekuće donacije vjerskim zajednicama</w:t>
      </w:r>
      <w:r w:rsidRPr="00161D46">
        <w:rPr>
          <w:rFonts w:cstheme="minorHAnsi"/>
          <w:sz w:val="22"/>
          <w:szCs w:val="22"/>
        </w:rPr>
        <w:tab/>
      </w:r>
      <w:r w:rsidR="000729BA" w:rsidRPr="00161D46">
        <w:rPr>
          <w:rFonts w:cstheme="minorHAnsi"/>
          <w:sz w:val="22"/>
          <w:szCs w:val="22"/>
        </w:rPr>
        <w:t>1</w:t>
      </w:r>
      <w:r w:rsidRPr="00161D46">
        <w:rPr>
          <w:rFonts w:cstheme="minorHAnsi"/>
          <w:sz w:val="22"/>
          <w:szCs w:val="22"/>
        </w:rPr>
        <w:t>.000,00</w:t>
      </w:r>
    </w:p>
    <w:p w14:paraId="328B0B71" w14:textId="1522BFAD" w:rsidR="00930861" w:rsidRPr="00161D46" w:rsidRDefault="00930861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ind w:left="714" w:hanging="357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Tekuće donacije za sport</w:t>
      </w:r>
      <w:r w:rsidRPr="00161D46">
        <w:rPr>
          <w:rFonts w:cstheme="minorHAnsi"/>
          <w:sz w:val="22"/>
          <w:szCs w:val="22"/>
        </w:rPr>
        <w:tab/>
      </w:r>
      <w:r w:rsidR="000729BA" w:rsidRPr="00161D46">
        <w:rPr>
          <w:rFonts w:cstheme="minorHAnsi"/>
          <w:sz w:val="22"/>
          <w:szCs w:val="22"/>
        </w:rPr>
        <w:t>2</w:t>
      </w:r>
      <w:r w:rsidR="00F563F0" w:rsidRPr="00161D46">
        <w:rPr>
          <w:rFonts w:cstheme="minorHAnsi"/>
          <w:sz w:val="22"/>
          <w:szCs w:val="22"/>
        </w:rPr>
        <w:t>.</w:t>
      </w:r>
      <w:r w:rsidR="00161D46" w:rsidRPr="00161D46">
        <w:rPr>
          <w:rFonts w:cstheme="minorHAnsi"/>
          <w:sz w:val="22"/>
          <w:szCs w:val="22"/>
        </w:rPr>
        <w:t>6</w:t>
      </w:r>
      <w:r w:rsidRPr="00161D46">
        <w:rPr>
          <w:rFonts w:cstheme="minorHAnsi"/>
          <w:sz w:val="22"/>
          <w:szCs w:val="22"/>
        </w:rPr>
        <w:t>00,00</w:t>
      </w:r>
    </w:p>
    <w:p w14:paraId="4636D046" w14:textId="642FF775" w:rsidR="00F563F0" w:rsidRPr="00161D46" w:rsidRDefault="00F563F0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ind w:left="714" w:hanging="357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Tekuće donacije za kulturu</w:t>
      </w:r>
      <w:r w:rsidRPr="00161D46">
        <w:rPr>
          <w:rFonts w:cstheme="minorHAnsi"/>
          <w:sz w:val="22"/>
          <w:szCs w:val="22"/>
        </w:rPr>
        <w:tab/>
      </w:r>
      <w:r w:rsidR="00161D46" w:rsidRPr="00161D46">
        <w:rPr>
          <w:rFonts w:cstheme="minorHAnsi"/>
          <w:sz w:val="22"/>
          <w:szCs w:val="22"/>
        </w:rPr>
        <w:t>5</w:t>
      </w:r>
      <w:r w:rsidRPr="00161D46">
        <w:rPr>
          <w:rFonts w:cstheme="minorHAnsi"/>
          <w:sz w:val="22"/>
          <w:szCs w:val="22"/>
        </w:rPr>
        <w:t>00,00</w:t>
      </w:r>
    </w:p>
    <w:p w14:paraId="1B42B310" w14:textId="7F29BBEC" w:rsidR="00927089" w:rsidRPr="00161D46" w:rsidRDefault="00927089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0" w:line="240" w:lineRule="auto"/>
        <w:ind w:left="714" w:hanging="357"/>
        <w:contextualSpacing w:val="0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Tekuće donacije ostalim udrugama</w:t>
      </w:r>
      <w:r w:rsidRPr="00161D46">
        <w:rPr>
          <w:rFonts w:cstheme="minorHAnsi"/>
          <w:sz w:val="22"/>
          <w:szCs w:val="22"/>
        </w:rPr>
        <w:tab/>
      </w:r>
      <w:r w:rsidR="00161D46" w:rsidRPr="00161D46">
        <w:rPr>
          <w:rFonts w:cstheme="minorHAnsi"/>
          <w:sz w:val="22"/>
          <w:szCs w:val="22"/>
        </w:rPr>
        <w:t>2</w:t>
      </w:r>
      <w:r w:rsidR="006200E7" w:rsidRPr="00161D46">
        <w:rPr>
          <w:rFonts w:cstheme="minorHAnsi"/>
          <w:sz w:val="22"/>
          <w:szCs w:val="22"/>
        </w:rPr>
        <w:t>.000,00</w:t>
      </w:r>
    </w:p>
    <w:p w14:paraId="53BB6869" w14:textId="184C5B51" w:rsidR="00643333" w:rsidRPr="00161D46" w:rsidRDefault="00DA1896" w:rsidP="00165728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120" w:line="240" w:lineRule="auto"/>
        <w:rPr>
          <w:rFonts w:cstheme="minorHAnsi"/>
          <w:sz w:val="22"/>
          <w:szCs w:val="22"/>
        </w:rPr>
      </w:pPr>
      <w:r w:rsidRPr="00161D46">
        <w:rPr>
          <w:rFonts w:cstheme="minorHAnsi"/>
          <w:sz w:val="22"/>
          <w:szCs w:val="22"/>
        </w:rPr>
        <w:t>Manifestacije</w:t>
      </w:r>
      <w:r w:rsidR="00643333" w:rsidRPr="00161D46">
        <w:rPr>
          <w:rFonts w:cstheme="minorHAnsi"/>
          <w:sz w:val="22"/>
          <w:szCs w:val="22"/>
        </w:rPr>
        <w:tab/>
      </w:r>
      <w:r w:rsidRPr="00161D46">
        <w:rPr>
          <w:rFonts w:cstheme="minorHAnsi"/>
          <w:sz w:val="22"/>
          <w:szCs w:val="22"/>
        </w:rPr>
        <w:t>1</w:t>
      </w:r>
      <w:r w:rsidR="00643333" w:rsidRPr="00161D46">
        <w:rPr>
          <w:rFonts w:cstheme="minorHAnsi"/>
          <w:sz w:val="22"/>
          <w:szCs w:val="22"/>
        </w:rPr>
        <w:t>.</w:t>
      </w:r>
      <w:r w:rsidR="00161D46" w:rsidRPr="00161D46">
        <w:rPr>
          <w:rFonts w:cstheme="minorHAnsi"/>
          <w:sz w:val="22"/>
          <w:szCs w:val="22"/>
        </w:rPr>
        <w:t>8</w:t>
      </w:r>
      <w:r w:rsidR="00643333" w:rsidRPr="00161D46">
        <w:rPr>
          <w:rFonts w:cstheme="minorHAnsi"/>
          <w:sz w:val="22"/>
          <w:szCs w:val="22"/>
        </w:rPr>
        <w:t>00,00</w:t>
      </w:r>
    </w:p>
    <w:p w14:paraId="37448D16" w14:textId="633DD208" w:rsidR="00654109" w:rsidRPr="00643333" w:rsidRDefault="00654109" w:rsidP="00161D46">
      <w:pPr>
        <w:pStyle w:val="ListParagraph"/>
        <w:numPr>
          <w:ilvl w:val="0"/>
          <w:numId w:val="2"/>
        </w:numPr>
        <w:tabs>
          <w:tab w:val="right" w:leader="dot" w:pos="10206"/>
        </w:tabs>
        <w:spacing w:before="0" w:after="12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Ostale tekuće donacije</w:t>
      </w:r>
      <w:r w:rsidR="00161D46">
        <w:rPr>
          <w:rFonts w:cstheme="minorHAnsi"/>
          <w:sz w:val="22"/>
          <w:szCs w:val="22"/>
        </w:rPr>
        <w:t xml:space="preserve"> i  pokroviteljstva</w:t>
      </w:r>
      <w:r>
        <w:rPr>
          <w:rFonts w:cstheme="minorHAnsi"/>
          <w:sz w:val="22"/>
          <w:szCs w:val="22"/>
        </w:rPr>
        <w:tab/>
      </w:r>
      <w:r w:rsidR="00161D46" w:rsidRPr="00161D46">
        <w:rPr>
          <w:rFonts w:cstheme="minorHAnsi"/>
          <w:sz w:val="22"/>
          <w:szCs w:val="22"/>
        </w:rPr>
        <w:t>750,00</w:t>
      </w:r>
    </w:p>
    <w:p w14:paraId="145F05F5" w14:textId="77777777" w:rsidR="00DA1896" w:rsidRPr="00000576" w:rsidRDefault="00DA1896" w:rsidP="00000576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46E5CB18" w14:textId="1895B98D" w:rsidR="009A018B" w:rsidRPr="002C7635" w:rsidRDefault="002C7635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1" w:name="_Toc144891699"/>
      <w:r w:rsidRPr="002C7635">
        <w:rPr>
          <w:b/>
          <w:caps w:val="0"/>
          <w:sz w:val="22"/>
        </w:rPr>
        <w:t xml:space="preserve">Rashodi za nabavu </w:t>
      </w:r>
      <w:proofErr w:type="spellStart"/>
      <w:r w:rsidRPr="002C7635">
        <w:rPr>
          <w:b/>
          <w:caps w:val="0"/>
          <w:sz w:val="22"/>
        </w:rPr>
        <w:t>neproizvedene</w:t>
      </w:r>
      <w:proofErr w:type="spellEnd"/>
      <w:r w:rsidRPr="002C7635">
        <w:rPr>
          <w:b/>
          <w:caps w:val="0"/>
          <w:sz w:val="22"/>
        </w:rPr>
        <w:t xml:space="preserve"> dugotrajne imovine</w:t>
      </w:r>
      <w:bookmarkEnd w:id="21"/>
    </w:p>
    <w:p w14:paraId="78AD2292" w14:textId="5119862F" w:rsidR="009A018B" w:rsidRDefault="009A018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nabavu </w:t>
      </w:r>
      <w:proofErr w:type="spellStart"/>
      <w:r w:rsidRPr="00000576">
        <w:rPr>
          <w:rFonts w:cstheme="minorHAnsi"/>
          <w:sz w:val="22"/>
          <w:szCs w:val="22"/>
        </w:rPr>
        <w:t>neproizvedene</w:t>
      </w:r>
      <w:proofErr w:type="spellEnd"/>
      <w:r w:rsidRPr="00000576">
        <w:rPr>
          <w:rFonts w:cstheme="minorHAnsi"/>
          <w:sz w:val="22"/>
          <w:szCs w:val="22"/>
        </w:rPr>
        <w:t xml:space="preserve"> dugotrajne imovine </w:t>
      </w:r>
      <w:r w:rsidR="006C052C">
        <w:rPr>
          <w:rFonts w:cstheme="minorHAnsi"/>
          <w:sz w:val="22"/>
          <w:szCs w:val="22"/>
        </w:rPr>
        <w:t>izvršeni su u iznosu od</w:t>
      </w:r>
      <w:r w:rsidR="00E83246" w:rsidRPr="00000576">
        <w:rPr>
          <w:rFonts w:cstheme="minorHAnsi"/>
          <w:sz w:val="22"/>
          <w:szCs w:val="22"/>
        </w:rPr>
        <w:t xml:space="preserve"> </w:t>
      </w:r>
      <w:r w:rsidR="005813D0" w:rsidRPr="005813D0">
        <w:rPr>
          <w:rFonts w:cstheme="minorHAnsi"/>
          <w:sz w:val="22"/>
          <w:szCs w:val="22"/>
        </w:rPr>
        <w:t>6.100,49</w:t>
      </w:r>
      <w:r w:rsidR="005813D0">
        <w:rPr>
          <w:rFonts w:cstheme="minorHAnsi"/>
          <w:sz w:val="22"/>
          <w:szCs w:val="22"/>
        </w:rPr>
        <w:t xml:space="preserve"> eura</w:t>
      </w:r>
      <w:r w:rsidR="00E83246" w:rsidRPr="00000576">
        <w:rPr>
          <w:rFonts w:cstheme="minorHAnsi"/>
          <w:sz w:val="22"/>
          <w:szCs w:val="22"/>
        </w:rPr>
        <w:t xml:space="preserve">, </w:t>
      </w:r>
      <w:r w:rsidR="006C052C">
        <w:rPr>
          <w:rFonts w:cstheme="minorHAnsi"/>
          <w:sz w:val="22"/>
          <w:szCs w:val="22"/>
        </w:rPr>
        <w:t xml:space="preserve">čime je ostvareno </w:t>
      </w:r>
      <w:r w:rsidR="005813D0">
        <w:rPr>
          <w:rFonts w:cstheme="minorHAnsi"/>
          <w:sz w:val="22"/>
          <w:szCs w:val="22"/>
        </w:rPr>
        <w:t>27,11</w:t>
      </w:r>
      <w:r w:rsidR="006C052C">
        <w:rPr>
          <w:rFonts w:cstheme="minorHAnsi"/>
          <w:sz w:val="22"/>
          <w:szCs w:val="22"/>
        </w:rPr>
        <w:t>% Plana za 202</w:t>
      </w:r>
      <w:r w:rsidR="005813D0">
        <w:rPr>
          <w:rFonts w:cstheme="minorHAnsi"/>
          <w:sz w:val="22"/>
          <w:szCs w:val="22"/>
        </w:rPr>
        <w:t>3</w:t>
      </w:r>
      <w:r w:rsidR="006C052C">
        <w:rPr>
          <w:rFonts w:cstheme="minorHAnsi"/>
          <w:sz w:val="22"/>
          <w:szCs w:val="22"/>
        </w:rPr>
        <w:t>. godinu</w:t>
      </w:r>
      <w:r w:rsidR="00E83246" w:rsidRPr="00000576">
        <w:rPr>
          <w:rFonts w:cstheme="minorHAnsi"/>
          <w:sz w:val="22"/>
          <w:szCs w:val="22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5813D0" w:rsidRPr="00774527" w14:paraId="392A91C1" w14:textId="77777777" w:rsidTr="005813D0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C99EC8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DD1859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FC094A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FD3891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7006F7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C807FA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E6B7EC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5813D0" w:rsidRPr="00774527" w14:paraId="1BBDCF4C" w14:textId="77777777" w:rsidTr="005813D0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1267BB8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C651D2F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E1D57A9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6B8C218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8FAC212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6F424F3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3A5439" w14:textId="77777777" w:rsidR="00774527" w:rsidRPr="00774527" w:rsidRDefault="00774527" w:rsidP="0077452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5813D0" w:rsidRPr="00774527" w14:paraId="45580C7E" w14:textId="77777777" w:rsidTr="005813D0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C6601D" w14:textId="77777777" w:rsidR="00774527" w:rsidRPr="00774527" w:rsidRDefault="00774527" w:rsidP="0077452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6219A4" w14:textId="77777777" w:rsidR="00774527" w:rsidRPr="00774527" w:rsidRDefault="00774527" w:rsidP="0077452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E9201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1.240,96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B3F9A4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FB25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6.100,49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B89F2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491,59%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7B1AD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27,11%</w:t>
            </w:r>
          </w:p>
        </w:tc>
      </w:tr>
      <w:tr w:rsidR="005813D0" w:rsidRPr="00774527" w14:paraId="3CF24D4D" w14:textId="77777777" w:rsidTr="005813D0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E42506" w14:textId="77777777" w:rsidR="00774527" w:rsidRPr="00774527" w:rsidRDefault="00774527" w:rsidP="0077452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6D3C90" w14:textId="77777777" w:rsidR="00774527" w:rsidRPr="00774527" w:rsidRDefault="00774527" w:rsidP="0077452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90A93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1.240,96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76DF5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A257ED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6.100,49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13E5C1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491,59%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01F8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27,11%</w:t>
            </w:r>
          </w:p>
        </w:tc>
      </w:tr>
      <w:tr w:rsidR="005813D0" w:rsidRPr="00774527" w14:paraId="794733B3" w14:textId="77777777" w:rsidTr="005813D0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8C6461" w14:textId="77777777" w:rsidR="00774527" w:rsidRPr="00774527" w:rsidRDefault="00774527" w:rsidP="0077452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F3BC2C" w14:textId="77777777" w:rsidR="00774527" w:rsidRPr="00774527" w:rsidRDefault="00774527" w:rsidP="0077452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86C325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1.240,96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F93025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B8BCC7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6.100,49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2F071E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491,59%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E829" w14:textId="77777777" w:rsidR="00774527" w:rsidRPr="00774527" w:rsidRDefault="00774527" w:rsidP="0077452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7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27,11%</w:t>
            </w:r>
          </w:p>
        </w:tc>
      </w:tr>
    </w:tbl>
    <w:p w14:paraId="7B341CD4" w14:textId="2E55B7F0" w:rsidR="004F457C" w:rsidRDefault="006C052C" w:rsidP="0065410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6C052C">
        <w:rPr>
          <w:rFonts w:cstheme="minorHAnsi"/>
          <w:sz w:val="22"/>
          <w:szCs w:val="22"/>
        </w:rPr>
        <w:lastRenderedPageBreak/>
        <w:t>Sredstva s</w:t>
      </w:r>
      <w:r>
        <w:rPr>
          <w:rFonts w:cstheme="minorHAnsi"/>
          <w:sz w:val="22"/>
          <w:szCs w:val="22"/>
        </w:rPr>
        <w:t>u utrošena za kupnju zemljišta u</w:t>
      </w:r>
      <w:r w:rsidR="00EF5E3E">
        <w:rPr>
          <w:rFonts w:cstheme="minorHAnsi"/>
          <w:sz w:val="22"/>
          <w:szCs w:val="22"/>
        </w:rPr>
        <w:t>nutar</w:t>
      </w:r>
      <w:r>
        <w:rPr>
          <w:rFonts w:cstheme="minorHAnsi"/>
          <w:sz w:val="22"/>
          <w:szCs w:val="22"/>
        </w:rPr>
        <w:t xml:space="preserve"> </w:t>
      </w:r>
      <w:r w:rsidR="00654109">
        <w:rPr>
          <w:rFonts w:cstheme="minorHAnsi"/>
          <w:sz w:val="22"/>
          <w:szCs w:val="22"/>
        </w:rPr>
        <w:t>IGPIN</w:t>
      </w:r>
      <w:r w:rsidR="00654109" w:rsidRPr="00654109">
        <w:rPr>
          <w:rFonts w:cstheme="minorHAnsi"/>
          <w:sz w:val="22"/>
          <w:szCs w:val="22"/>
        </w:rPr>
        <w:t xml:space="preserve"> </w:t>
      </w:r>
      <w:r w:rsidR="005813D0">
        <w:rPr>
          <w:rFonts w:cstheme="minorHAnsi"/>
          <w:sz w:val="22"/>
          <w:szCs w:val="22"/>
        </w:rPr>
        <w:t>ugostiteljsko turističke namjene</w:t>
      </w:r>
      <w:r w:rsidR="00654109" w:rsidRPr="00654109">
        <w:rPr>
          <w:rFonts w:cstheme="minorHAnsi"/>
          <w:sz w:val="22"/>
          <w:szCs w:val="22"/>
        </w:rPr>
        <w:t xml:space="preserve"> </w:t>
      </w:r>
      <w:r w:rsidR="005813D0">
        <w:rPr>
          <w:rFonts w:cstheme="minorHAnsi"/>
          <w:sz w:val="22"/>
          <w:szCs w:val="22"/>
        </w:rPr>
        <w:t>–</w:t>
      </w:r>
      <w:r w:rsidR="00654109">
        <w:rPr>
          <w:rFonts w:cstheme="minorHAnsi"/>
          <w:sz w:val="22"/>
          <w:szCs w:val="22"/>
        </w:rPr>
        <w:t xml:space="preserve"> </w:t>
      </w:r>
      <w:r w:rsidR="005813D0">
        <w:rPr>
          <w:rFonts w:cstheme="minorHAnsi"/>
          <w:sz w:val="22"/>
          <w:szCs w:val="22"/>
        </w:rPr>
        <w:t xml:space="preserve">izletište </w:t>
      </w:r>
      <w:proofErr w:type="spellStart"/>
      <w:r w:rsidR="005813D0">
        <w:rPr>
          <w:rFonts w:cstheme="minorHAnsi"/>
          <w:sz w:val="22"/>
          <w:szCs w:val="22"/>
        </w:rPr>
        <w:t>Vračica</w:t>
      </w:r>
      <w:proofErr w:type="spellEnd"/>
      <w:r w:rsidR="005813D0">
        <w:rPr>
          <w:rFonts w:cstheme="minorHAnsi"/>
          <w:sz w:val="22"/>
          <w:szCs w:val="22"/>
        </w:rPr>
        <w:t xml:space="preserve">, te otkup suvlasničkih dijelova nekretnina u </w:t>
      </w:r>
      <w:proofErr w:type="spellStart"/>
      <w:r w:rsidR="005813D0">
        <w:rPr>
          <w:rFonts w:cstheme="minorHAnsi"/>
          <w:sz w:val="22"/>
          <w:szCs w:val="22"/>
        </w:rPr>
        <w:t>Levanjskoj</w:t>
      </w:r>
      <w:proofErr w:type="spellEnd"/>
      <w:r w:rsidR="005813D0">
        <w:rPr>
          <w:rFonts w:cstheme="minorHAnsi"/>
          <w:sz w:val="22"/>
          <w:szCs w:val="22"/>
        </w:rPr>
        <w:t xml:space="preserve"> Varoši.</w:t>
      </w:r>
    </w:p>
    <w:p w14:paraId="63C1F9E7" w14:textId="77777777" w:rsidR="00EF5E3E" w:rsidRPr="00000576" w:rsidRDefault="00EF5E3E" w:rsidP="006C052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1942F6C4" w14:textId="2149BB94" w:rsidR="004F457C" w:rsidRPr="002C7635" w:rsidRDefault="002C7635" w:rsidP="00165728">
      <w:pPr>
        <w:pStyle w:val="Heading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22" w:name="_Toc144891700"/>
      <w:r w:rsidRPr="002C7635">
        <w:rPr>
          <w:b/>
          <w:caps w:val="0"/>
          <w:sz w:val="22"/>
        </w:rPr>
        <w:t>Rashodi za nabavu proizvedene dugotrajne imovine</w:t>
      </w:r>
      <w:bookmarkEnd w:id="22"/>
    </w:p>
    <w:p w14:paraId="2C04516A" w14:textId="095D1BF7" w:rsidR="00784033" w:rsidRDefault="004F457C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Rashodi za nabavu proizvedene dugotrajne imovine ostvareni su u iznosu od</w:t>
      </w:r>
      <w:r w:rsidR="00EF5E3E">
        <w:rPr>
          <w:rFonts w:cstheme="minorHAnsi"/>
          <w:sz w:val="22"/>
          <w:szCs w:val="22"/>
        </w:rPr>
        <w:t xml:space="preserve"> </w:t>
      </w:r>
      <w:r w:rsidR="008101CD" w:rsidRPr="008101CD">
        <w:rPr>
          <w:rFonts w:cstheme="minorHAnsi"/>
          <w:sz w:val="22"/>
          <w:szCs w:val="22"/>
        </w:rPr>
        <w:t>25.296,06</w:t>
      </w:r>
      <w:r w:rsidR="008101CD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a odnose se na izgradnju  objekata komunalne </w:t>
      </w:r>
      <w:r w:rsidR="00784033">
        <w:rPr>
          <w:rFonts w:cstheme="minorHAnsi"/>
          <w:sz w:val="22"/>
          <w:szCs w:val="22"/>
        </w:rPr>
        <w:t xml:space="preserve">i društvene </w:t>
      </w:r>
      <w:r w:rsidRPr="00000576">
        <w:rPr>
          <w:rFonts w:cstheme="minorHAnsi"/>
          <w:sz w:val="22"/>
          <w:szCs w:val="22"/>
        </w:rPr>
        <w:t>infrastrukture</w:t>
      </w:r>
      <w:r w:rsidR="00784033">
        <w:rPr>
          <w:rFonts w:cstheme="minorHAnsi"/>
          <w:sz w:val="22"/>
          <w:szCs w:val="22"/>
        </w:rPr>
        <w:t>.</w:t>
      </w:r>
    </w:p>
    <w:p w14:paraId="089FC5A0" w14:textId="7D7570F2" w:rsidR="00FE1252" w:rsidRDefault="00FE12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 ovoj stavci </w:t>
      </w:r>
      <w:r w:rsidR="002C4342" w:rsidRPr="00000576">
        <w:rPr>
          <w:rFonts w:cstheme="minorHAnsi"/>
          <w:sz w:val="22"/>
          <w:szCs w:val="22"/>
        </w:rPr>
        <w:t>realizirano je</w:t>
      </w:r>
      <w:r w:rsidRPr="00000576">
        <w:rPr>
          <w:rFonts w:cstheme="minorHAnsi"/>
          <w:sz w:val="22"/>
          <w:szCs w:val="22"/>
        </w:rPr>
        <w:t xml:space="preserve"> </w:t>
      </w:r>
      <w:r w:rsidR="00784033">
        <w:rPr>
          <w:rFonts w:cstheme="minorHAnsi"/>
          <w:sz w:val="22"/>
          <w:szCs w:val="22"/>
        </w:rPr>
        <w:t>1,33</w:t>
      </w:r>
      <w:r w:rsidRPr="00000576">
        <w:rPr>
          <w:rFonts w:cstheme="minorHAnsi"/>
          <w:sz w:val="22"/>
          <w:szCs w:val="22"/>
        </w:rPr>
        <w:t xml:space="preserve">% </w:t>
      </w:r>
      <w:r w:rsidR="00B5738A">
        <w:rPr>
          <w:rFonts w:cstheme="minorHAnsi"/>
          <w:sz w:val="22"/>
          <w:szCs w:val="22"/>
        </w:rPr>
        <w:t>manje</w:t>
      </w:r>
      <w:r w:rsidRPr="00000576">
        <w:rPr>
          <w:rFonts w:cstheme="minorHAnsi"/>
          <w:sz w:val="22"/>
          <w:szCs w:val="22"/>
        </w:rPr>
        <w:t xml:space="preserve"> rashoda </w:t>
      </w:r>
      <w:r w:rsidR="002C4342" w:rsidRPr="00000576">
        <w:rPr>
          <w:rFonts w:cstheme="minorHAnsi"/>
          <w:sz w:val="22"/>
          <w:szCs w:val="22"/>
        </w:rPr>
        <w:t xml:space="preserve">u odnosu na </w:t>
      </w:r>
      <w:r w:rsidR="00903D93">
        <w:rPr>
          <w:rFonts w:cstheme="minorHAnsi"/>
          <w:sz w:val="22"/>
          <w:szCs w:val="22"/>
        </w:rPr>
        <w:t xml:space="preserve">isto razdoblje </w:t>
      </w:r>
      <w:r w:rsidR="002C4342" w:rsidRPr="00000576">
        <w:rPr>
          <w:rFonts w:cstheme="minorHAnsi"/>
          <w:sz w:val="22"/>
          <w:szCs w:val="22"/>
        </w:rPr>
        <w:t>20</w:t>
      </w:r>
      <w:r w:rsidR="00903D93">
        <w:rPr>
          <w:rFonts w:cstheme="minorHAnsi"/>
          <w:sz w:val="22"/>
          <w:szCs w:val="22"/>
        </w:rPr>
        <w:t>2</w:t>
      </w:r>
      <w:r w:rsidR="00784033">
        <w:rPr>
          <w:rFonts w:cstheme="minorHAnsi"/>
          <w:sz w:val="22"/>
          <w:szCs w:val="22"/>
        </w:rPr>
        <w:t>2</w:t>
      </w:r>
      <w:r w:rsidR="002C4342" w:rsidRPr="00000576">
        <w:rPr>
          <w:rFonts w:cstheme="minorHAnsi"/>
          <w:sz w:val="22"/>
          <w:szCs w:val="22"/>
        </w:rPr>
        <w:t>. godin</w:t>
      </w:r>
      <w:r w:rsidR="00903D93">
        <w:rPr>
          <w:rFonts w:cstheme="minorHAnsi"/>
          <w:sz w:val="22"/>
          <w:szCs w:val="22"/>
        </w:rPr>
        <w:t>e</w:t>
      </w:r>
      <w:r w:rsidR="002C4342" w:rsidRPr="00000576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8101CD" w:rsidRPr="005813D0" w14:paraId="642AE9D6" w14:textId="77777777" w:rsidTr="008101C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BA78BC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B68EA1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8A7128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23EDFD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6DD075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E318A1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34C9B4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8101CD" w:rsidRPr="005813D0" w14:paraId="42387C05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D59A2B6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2C41681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7A02C67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6D44794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8CAE2A3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A657A4F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11DC2D" w14:textId="77777777" w:rsidR="005813D0" w:rsidRPr="005813D0" w:rsidRDefault="005813D0" w:rsidP="005813D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8101CD" w:rsidRPr="005813D0" w14:paraId="28408EA6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FAA536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A0B07B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9F2A70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25.637,01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2BD6AA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1.021.350,00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D718A3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25.296,06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D9201A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98,67%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134BB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2,48%</w:t>
            </w:r>
          </w:p>
        </w:tc>
      </w:tr>
      <w:tr w:rsidR="008101CD" w:rsidRPr="005813D0" w14:paraId="74828549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AD504B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EE2CDB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3B9EB5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22.002,16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4454BB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962.350,00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34EA6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25.296,06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9CD912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114,97%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6C2B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2,63%</w:t>
            </w:r>
          </w:p>
        </w:tc>
      </w:tr>
      <w:tr w:rsidR="008101CD" w:rsidRPr="005813D0" w14:paraId="71051D85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402F4A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6307C5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2DDAE5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4.678,48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3643A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722.350,00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98C129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5.568,81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735A9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119,03%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2604D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0,77%</w:t>
            </w:r>
          </w:p>
        </w:tc>
      </w:tr>
      <w:tr w:rsidR="008101CD" w:rsidRPr="005813D0" w14:paraId="5F8F11FA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4A7651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A9FD21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60D6FF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14.752,18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24BFCB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DE8957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19.727,25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47AA18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133,72%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52C3D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16,44%</w:t>
            </w:r>
          </w:p>
        </w:tc>
      </w:tr>
      <w:tr w:rsidR="008101CD" w:rsidRPr="005813D0" w14:paraId="1185E717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B17A5E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B013C2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2C861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2.571,50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FDEEFB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C5E070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3FFD95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00F41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101CD" w:rsidRPr="005813D0" w14:paraId="4F3586CD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FF12DA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3298F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E3029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3.634,85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A6D3D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D768F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6A04AC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0138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101CD" w:rsidRPr="005813D0" w14:paraId="3B53DBF9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814EEC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BD9585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1DC45D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314B4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3E0CF8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8435D3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AE2D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101CD" w:rsidRPr="005813D0" w14:paraId="752D1B69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2AC151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46FC71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F67DA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FBFC7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7D2E3A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63475A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53132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101CD" w:rsidRPr="005813D0" w14:paraId="7AB77C3D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817996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2265CE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A86268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D41011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32.300,00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791F50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B3104F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59525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101CD" w:rsidRPr="005813D0" w14:paraId="6A29922E" w14:textId="77777777" w:rsidTr="008101CD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61B28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CB60F" w14:textId="77777777" w:rsidR="005813D0" w:rsidRPr="005813D0" w:rsidRDefault="005813D0" w:rsidP="005813D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111FE8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3.634,85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020BE7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8F8A3D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B72085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90C4" w14:textId="77777777" w:rsidR="005813D0" w:rsidRPr="005813D0" w:rsidRDefault="005813D0" w:rsidP="005813D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81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14:paraId="5003CF8D" w14:textId="11068524" w:rsidR="00725638" w:rsidRPr="00000576" w:rsidRDefault="00A549FA" w:rsidP="003A4D0F">
      <w:pPr>
        <w:spacing w:before="120" w:after="120" w:line="240" w:lineRule="auto"/>
        <w:jc w:val="both"/>
        <w:rPr>
          <w:rFonts w:cstheme="minorHAnsi"/>
          <w:color w:val="FF0000"/>
          <w:sz w:val="22"/>
          <w:szCs w:val="22"/>
        </w:rPr>
      </w:pPr>
      <w:r w:rsidRPr="00FB0F60">
        <w:rPr>
          <w:rFonts w:cstheme="minorHAnsi"/>
          <w:sz w:val="22"/>
          <w:szCs w:val="22"/>
        </w:rPr>
        <w:t xml:space="preserve">Ova stavka se odnosi na </w:t>
      </w:r>
      <w:r w:rsidR="00784033">
        <w:rPr>
          <w:rFonts w:cstheme="minorHAnsi"/>
          <w:sz w:val="22"/>
          <w:szCs w:val="22"/>
        </w:rPr>
        <w:t xml:space="preserve">sanaciju NC </w:t>
      </w:r>
      <w:proofErr w:type="spellStart"/>
      <w:r w:rsidR="00784033">
        <w:rPr>
          <w:rFonts w:cstheme="minorHAnsi"/>
          <w:sz w:val="22"/>
          <w:szCs w:val="22"/>
        </w:rPr>
        <w:t>Vračica</w:t>
      </w:r>
      <w:proofErr w:type="spellEnd"/>
      <w:r w:rsidR="00784033">
        <w:rPr>
          <w:rFonts w:cstheme="minorHAnsi"/>
          <w:sz w:val="22"/>
          <w:szCs w:val="22"/>
        </w:rPr>
        <w:t xml:space="preserve"> te izgradnju kanalizacije unutar </w:t>
      </w:r>
      <w:r w:rsidR="003A4D0F" w:rsidRPr="00FB0F60">
        <w:rPr>
          <w:rFonts w:cstheme="minorHAnsi"/>
          <w:sz w:val="22"/>
          <w:szCs w:val="22"/>
        </w:rPr>
        <w:t>kompleks</w:t>
      </w:r>
      <w:r w:rsidR="00784033">
        <w:rPr>
          <w:rFonts w:cstheme="minorHAnsi"/>
          <w:sz w:val="22"/>
          <w:szCs w:val="22"/>
        </w:rPr>
        <w:t>a</w:t>
      </w:r>
      <w:r w:rsidR="003A4D0F" w:rsidRPr="00FB0F60">
        <w:rPr>
          <w:rFonts w:cstheme="minorHAnsi"/>
          <w:sz w:val="22"/>
          <w:szCs w:val="22"/>
        </w:rPr>
        <w:t xml:space="preserve"> „St</w:t>
      </w:r>
      <w:r w:rsidR="00784033">
        <w:rPr>
          <w:rFonts w:cstheme="minorHAnsi"/>
          <w:sz w:val="22"/>
          <w:szCs w:val="22"/>
        </w:rPr>
        <w:t xml:space="preserve">ara kupka u </w:t>
      </w:r>
      <w:proofErr w:type="spellStart"/>
      <w:r w:rsidR="00784033">
        <w:rPr>
          <w:rFonts w:cstheme="minorHAnsi"/>
          <w:sz w:val="22"/>
          <w:szCs w:val="22"/>
        </w:rPr>
        <w:t>Breznici</w:t>
      </w:r>
      <w:proofErr w:type="spellEnd"/>
      <w:r w:rsidR="00784033">
        <w:rPr>
          <w:rFonts w:cstheme="minorHAnsi"/>
          <w:sz w:val="22"/>
          <w:szCs w:val="22"/>
        </w:rPr>
        <w:t xml:space="preserve"> Đakovačkoj.</w:t>
      </w:r>
    </w:p>
    <w:p w14:paraId="3D3E3136" w14:textId="4E6AB52F" w:rsidR="006F0B47" w:rsidRPr="00952C2D" w:rsidRDefault="006F0B4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</w:t>
      </w:r>
      <w:r w:rsidR="00375BA8" w:rsidRPr="00000576">
        <w:rPr>
          <w:rFonts w:cstheme="minorHAnsi"/>
          <w:sz w:val="22"/>
          <w:szCs w:val="22"/>
        </w:rPr>
        <w:t>postrojenja i opre</w:t>
      </w:r>
      <w:r w:rsidR="00C74EB9" w:rsidRPr="00000576">
        <w:rPr>
          <w:rFonts w:cstheme="minorHAnsi"/>
          <w:sz w:val="22"/>
          <w:szCs w:val="22"/>
        </w:rPr>
        <w:t>mu</w:t>
      </w:r>
      <w:r w:rsidRPr="00000576">
        <w:rPr>
          <w:rFonts w:cstheme="minorHAnsi"/>
          <w:sz w:val="22"/>
          <w:szCs w:val="22"/>
        </w:rPr>
        <w:t xml:space="preserve"> </w:t>
      </w:r>
      <w:r w:rsidR="00784033">
        <w:rPr>
          <w:rFonts w:cstheme="minorHAnsi"/>
          <w:sz w:val="22"/>
          <w:szCs w:val="22"/>
        </w:rPr>
        <w:t xml:space="preserve">nisu </w:t>
      </w:r>
      <w:r w:rsidRPr="00000576">
        <w:rPr>
          <w:rFonts w:cstheme="minorHAnsi"/>
          <w:sz w:val="22"/>
          <w:szCs w:val="22"/>
        </w:rPr>
        <w:t xml:space="preserve">ostvareni </w:t>
      </w:r>
      <w:r w:rsidR="00784033">
        <w:rPr>
          <w:rFonts w:cstheme="minorHAnsi"/>
          <w:sz w:val="22"/>
          <w:szCs w:val="22"/>
        </w:rPr>
        <w:t>u promatranom razdoblju</w:t>
      </w:r>
      <w:r w:rsidR="00C10573" w:rsidRPr="00C10573">
        <w:rPr>
          <w:rFonts w:cstheme="minorHAnsi"/>
          <w:sz w:val="22"/>
          <w:szCs w:val="22"/>
        </w:rPr>
        <w:t>.</w:t>
      </w:r>
    </w:p>
    <w:p w14:paraId="7B2E5FF5" w14:textId="77777777" w:rsidR="00F4380C" w:rsidRPr="00000576" w:rsidRDefault="00F4380C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E15CA6D" w14:textId="61853444" w:rsidR="00725638" w:rsidRPr="00BB3F52" w:rsidRDefault="00BB3F52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3" w:name="_Toc144891701"/>
      <w:r w:rsidRPr="00BB3F52">
        <w:rPr>
          <w:b/>
          <w:caps w:val="0"/>
          <w:sz w:val="22"/>
        </w:rPr>
        <w:t>Rashodi za dodatna ulaganja na nefinancijskoj imovini</w:t>
      </w:r>
      <w:bookmarkEnd w:id="23"/>
    </w:p>
    <w:p w14:paraId="0503AF43" w14:textId="5FB57932" w:rsidR="00725638" w:rsidRDefault="0072563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Dodatna ulaganja na nefinancij</w:t>
      </w:r>
      <w:r w:rsidR="00C74EB9" w:rsidRPr="00000576">
        <w:rPr>
          <w:rFonts w:cstheme="minorHAnsi"/>
          <w:sz w:val="22"/>
          <w:szCs w:val="22"/>
        </w:rPr>
        <w:t>sk</w:t>
      </w:r>
      <w:r w:rsidR="00274319">
        <w:rPr>
          <w:rFonts w:cstheme="minorHAnsi"/>
          <w:sz w:val="22"/>
          <w:szCs w:val="22"/>
        </w:rPr>
        <w:t>oj</w:t>
      </w:r>
      <w:r w:rsidR="00C74EB9" w:rsidRPr="00000576">
        <w:rPr>
          <w:rFonts w:cstheme="minorHAnsi"/>
          <w:sz w:val="22"/>
          <w:szCs w:val="22"/>
        </w:rPr>
        <w:t xml:space="preserve"> imovin</w:t>
      </w:r>
      <w:r w:rsidR="00274319">
        <w:rPr>
          <w:rFonts w:cstheme="minorHAnsi"/>
          <w:sz w:val="22"/>
          <w:szCs w:val="22"/>
        </w:rPr>
        <w:t>i</w:t>
      </w:r>
      <w:r w:rsidR="00C74EB9" w:rsidRPr="00000576">
        <w:rPr>
          <w:rFonts w:cstheme="minorHAnsi"/>
          <w:sz w:val="22"/>
          <w:szCs w:val="22"/>
        </w:rPr>
        <w:t xml:space="preserve"> </w:t>
      </w:r>
      <w:r w:rsidR="00952C2D">
        <w:rPr>
          <w:rFonts w:cstheme="minorHAnsi"/>
          <w:sz w:val="22"/>
          <w:szCs w:val="22"/>
        </w:rPr>
        <w:t>realizirana</w:t>
      </w:r>
      <w:r w:rsidR="00274319">
        <w:rPr>
          <w:rFonts w:cstheme="minorHAnsi"/>
          <w:sz w:val="22"/>
          <w:szCs w:val="22"/>
        </w:rPr>
        <w:t xml:space="preserve"> su</w:t>
      </w:r>
      <w:r w:rsidR="00952C2D">
        <w:rPr>
          <w:rFonts w:cstheme="minorHAnsi"/>
          <w:sz w:val="22"/>
          <w:szCs w:val="22"/>
        </w:rPr>
        <w:t xml:space="preserve"> u</w:t>
      </w:r>
      <w:r w:rsidR="00784033">
        <w:rPr>
          <w:rFonts w:cstheme="minorHAnsi"/>
          <w:sz w:val="22"/>
          <w:szCs w:val="22"/>
        </w:rPr>
        <w:t xml:space="preserve"> prvoj polovici</w:t>
      </w:r>
      <w:r w:rsidR="00952C2D">
        <w:rPr>
          <w:rFonts w:cstheme="minorHAnsi"/>
          <w:sz w:val="22"/>
          <w:szCs w:val="22"/>
        </w:rPr>
        <w:t xml:space="preserve"> </w:t>
      </w:r>
      <w:r w:rsidR="004B16D8">
        <w:rPr>
          <w:rFonts w:cstheme="minorHAnsi"/>
          <w:sz w:val="22"/>
          <w:szCs w:val="22"/>
        </w:rPr>
        <w:t>202</w:t>
      </w:r>
      <w:r w:rsidR="00784033">
        <w:rPr>
          <w:rFonts w:cstheme="minorHAnsi"/>
          <w:sz w:val="22"/>
          <w:szCs w:val="22"/>
        </w:rPr>
        <w:t>3</w:t>
      </w:r>
      <w:r w:rsidR="004B16D8">
        <w:rPr>
          <w:rFonts w:cstheme="minorHAnsi"/>
          <w:sz w:val="22"/>
          <w:szCs w:val="22"/>
        </w:rPr>
        <w:t>. godin</w:t>
      </w:r>
      <w:r w:rsidR="00784033">
        <w:rPr>
          <w:rFonts w:cstheme="minorHAnsi"/>
          <w:sz w:val="22"/>
          <w:szCs w:val="22"/>
        </w:rPr>
        <w:t>e</w:t>
      </w:r>
      <w:r w:rsidR="00274319">
        <w:rPr>
          <w:rFonts w:cstheme="minorHAnsi"/>
          <w:sz w:val="22"/>
          <w:szCs w:val="22"/>
        </w:rPr>
        <w:t xml:space="preserve"> u iznosu od </w:t>
      </w:r>
      <w:r w:rsidR="00784033" w:rsidRPr="00784033">
        <w:rPr>
          <w:rFonts w:cstheme="minorHAnsi"/>
          <w:sz w:val="22"/>
          <w:szCs w:val="22"/>
        </w:rPr>
        <w:t>22.557,42</w:t>
      </w:r>
      <w:r w:rsidR="00784033">
        <w:rPr>
          <w:rFonts w:cstheme="minorHAnsi"/>
          <w:sz w:val="22"/>
          <w:szCs w:val="22"/>
        </w:rPr>
        <w:t xml:space="preserve"> eura</w:t>
      </w:r>
      <w:r w:rsidR="00274319">
        <w:rPr>
          <w:rFonts w:cstheme="minorHAnsi"/>
          <w:sz w:val="22"/>
          <w:szCs w:val="22"/>
        </w:rPr>
        <w:t xml:space="preserve">, čime je ostvareno </w:t>
      </w:r>
      <w:r w:rsidR="00784033">
        <w:rPr>
          <w:rFonts w:cstheme="minorHAnsi"/>
          <w:sz w:val="22"/>
          <w:szCs w:val="22"/>
        </w:rPr>
        <w:t>55,15</w:t>
      </w:r>
      <w:r w:rsidR="00274319">
        <w:rPr>
          <w:rFonts w:cstheme="minorHAnsi"/>
          <w:sz w:val="22"/>
          <w:szCs w:val="22"/>
        </w:rPr>
        <w:t>% Plana za 202</w:t>
      </w:r>
      <w:r w:rsidR="00784033">
        <w:rPr>
          <w:rFonts w:cstheme="minorHAnsi"/>
          <w:sz w:val="22"/>
          <w:szCs w:val="22"/>
        </w:rPr>
        <w:t>3</w:t>
      </w:r>
      <w:r w:rsidR="00274319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784033" w:rsidRPr="00784033" w14:paraId="1BCFD6DF" w14:textId="77777777" w:rsidTr="00784033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7C5E16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326933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FAC96E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0E5D32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1A3802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E36D54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E63017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784033" w:rsidRPr="00784033" w14:paraId="4864D695" w14:textId="77777777" w:rsidTr="0078403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F72EDE0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71C5B14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5DEEAA7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3DCE115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BB3C95A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B408319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F2243C" w14:textId="77777777" w:rsidR="00784033" w:rsidRPr="00784033" w:rsidRDefault="00784033" w:rsidP="007840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784033" w:rsidRPr="00784033" w14:paraId="070740D3" w14:textId="77777777" w:rsidTr="0078403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88E23A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BAB95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D224CE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5.068,22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DADD16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605E33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22.557,42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0A8FC2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445,08%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9FF62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55,15%</w:t>
            </w:r>
          </w:p>
        </w:tc>
      </w:tr>
      <w:tr w:rsidR="00784033" w:rsidRPr="00784033" w14:paraId="371FA52A" w14:textId="77777777" w:rsidTr="0078403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4E999F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840BB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8802D9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1.285,62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E23286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B90389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22.557,42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99C33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1754,59%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A2D11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55,15%</w:t>
            </w:r>
          </w:p>
        </w:tc>
      </w:tr>
      <w:tr w:rsidR="00784033" w:rsidRPr="00784033" w14:paraId="715F95B0" w14:textId="77777777" w:rsidTr="0078403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101ABE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4511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DEC6BD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B00B9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1.285,62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D79EA9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EE90FB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22.557,42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3CFA59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1754,59%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D0A44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55,15%</w:t>
            </w:r>
          </w:p>
        </w:tc>
      </w:tr>
      <w:tr w:rsidR="00784033" w:rsidRPr="00784033" w14:paraId="02EBCA92" w14:textId="77777777" w:rsidTr="0078403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FE699C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267C70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80846B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3.782,60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64CB66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DBC951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70A48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4E8A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84033" w:rsidRPr="00784033" w14:paraId="4A2E84DD" w14:textId="77777777" w:rsidTr="00784033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C6ECA0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4541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7088B3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390BF2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3.782,60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C49B6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49C43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BABAD" w14:textId="77777777" w:rsidR="00784033" w:rsidRPr="00784033" w:rsidRDefault="00784033" w:rsidP="0078403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F6EC" w14:textId="77777777" w:rsidR="00784033" w:rsidRPr="00784033" w:rsidRDefault="00784033" w:rsidP="0078403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840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6B7EF0B3" w14:textId="5ABED9C1" w:rsidR="00725638" w:rsidRDefault="00784033" w:rsidP="002743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Ovi rashodi se u potpunosti odnose na d</w:t>
      </w:r>
      <w:r w:rsidR="00274319">
        <w:rPr>
          <w:rFonts w:cstheme="minorHAnsi"/>
          <w:sz w:val="22"/>
          <w:szCs w:val="22"/>
        </w:rPr>
        <w:t>odatna ulaganja na građevinskim objektima</w:t>
      </w:r>
      <w:r>
        <w:rPr>
          <w:rFonts w:cstheme="minorHAnsi"/>
          <w:sz w:val="22"/>
          <w:szCs w:val="22"/>
        </w:rPr>
        <w:t>,</w:t>
      </w:r>
      <w:r w:rsidR="00274319">
        <w:rPr>
          <w:rFonts w:cstheme="minorHAnsi"/>
          <w:sz w:val="22"/>
          <w:szCs w:val="22"/>
        </w:rPr>
        <w:t xml:space="preserve"> </w:t>
      </w:r>
      <w:r w:rsidR="003E543E">
        <w:rPr>
          <w:rFonts w:cstheme="minorHAnsi"/>
          <w:sz w:val="22"/>
          <w:szCs w:val="22"/>
        </w:rPr>
        <w:t xml:space="preserve">odnosno </w:t>
      </w:r>
      <w:r w:rsidR="004B16D8" w:rsidRPr="004B16D8">
        <w:rPr>
          <w:rFonts w:cstheme="minorHAnsi"/>
          <w:sz w:val="22"/>
          <w:szCs w:val="22"/>
        </w:rPr>
        <w:t>uređenje fasade na</w:t>
      </w:r>
      <w:r w:rsidR="003E543E">
        <w:rPr>
          <w:rFonts w:cstheme="minorHAnsi"/>
          <w:sz w:val="22"/>
          <w:szCs w:val="22"/>
        </w:rPr>
        <w:t xml:space="preserve"> društvenom domu Slobodna Vlast.</w:t>
      </w:r>
    </w:p>
    <w:p w14:paraId="05603994" w14:textId="77777777" w:rsidR="00274319" w:rsidRPr="00000576" w:rsidRDefault="00274319" w:rsidP="002743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7FE4F06B" w14:textId="1361AFA6" w:rsidR="005C7CB5" w:rsidRPr="00BB3F52" w:rsidRDefault="00BB3F52" w:rsidP="00165728">
      <w:pPr>
        <w:pStyle w:val="Heading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4" w:name="_Toc144891702"/>
      <w:r w:rsidRPr="00BB3F52">
        <w:rPr>
          <w:b/>
          <w:caps w:val="0"/>
          <w:sz w:val="22"/>
        </w:rPr>
        <w:t xml:space="preserve">Izdaci za </w:t>
      </w:r>
      <w:r w:rsidR="004B16D8">
        <w:rPr>
          <w:b/>
          <w:caps w:val="0"/>
          <w:sz w:val="22"/>
        </w:rPr>
        <w:t xml:space="preserve">financijsku imovinu i </w:t>
      </w:r>
      <w:r w:rsidRPr="00BB3F52">
        <w:rPr>
          <w:b/>
          <w:caps w:val="0"/>
          <w:sz w:val="22"/>
        </w:rPr>
        <w:t>otplat</w:t>
      </w:r>
      <w:r w:rsidR="004B16D8">
        <w:rPr>
          <w:b/>
          <w:caps w:val="0"/>
          <w:sz w:val="22"/>
        </w:rPr>
        <w:t>e</w:t>
      </w:r>
      <w:r w:rsidRPr="00BB3F52">
        <w:rPr>
          <w:b/>
          <w:caps w:val="0"/>
          <w:sz w:val="22"/>
        </w:rPr>
        <w:t xml:space="preserve"> zajmova</w:t>
      </w:r>
      <w:bookmarkEnd w:id="24"/>
    </w:p>
    <w:p w14:paraId="0CE84092" w14:textId="0B381818" w:rsidR="005C7CB5" w:rsidRDefault="00BB3F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BB3F52">
        <w:rPr>
          <w:rFonts w:cstheme="minorHAnsi"/>
          <w:sz w:val="22"/>
          <w:szCs w:val="22"/>
        </w:rPr>
        <w:t xml:space="preserve">Izdaci za financijsku imovinu i otplate zajmova </w:t>
      </w:r>
      <w:r w:rsidR="00952C2D">
        <w:rPr>
          <w:rFonts w:cstheme="minorHAnsi"/>
          <w:sz w:val="22"/>
          <w:szCs w:val="22"/>
        </w:rPr>
        <w:t>realizirani</w:t>
      </w:r>
      <w:r w:rsidR="00E45B0C">
        <w:rPr>
          <w:rFonts w:cstheme="minorHAnsi"/>
          <w:sz w:val="22"/>
          <w:szCs w:val="22"/>
        </w:rPr>
        <w:t xml:space="preserve"> su</w:t>
      </w:r>
      <w:r w:rsidR="00952C2D">
        <w:rPr>
          <w:rFonts w:cstheme="minorHAnsi"/>
          <w:sz w:val="22"/>
          <w:szCs w:val="22"/>
        </w:rPr>
        <w:t xml:space="preserve"> u </w:t>
      </w:r>
      <w:r w:rsidR="00E45B0C">
        <w:rPr>
          <w:rFonts w:cstheme="minorHAnsi"/>
          <w:sz w:val="22"/>
          <w:szCs w:val="22"/>
        </w:rPr>
        <w:t xml:space="preserve">iznosu od </w:t>
      </w:r>
      <w:r w:rsidR="003E543E" w:rsidRPr="003E543E">
        <w:rPr>
          <w:rFonts w:cstheme="minorHAnsi"/>
          <w:sz w:val="22"/>
          <w:szCs w:val="22"/>
        </w:rPr>
        <w:t>4.961,24</w:t>
      </w:r>
      <w:r w:rsidR="003E543E">
        <w:rPr>
          <w:rFonts w:cstheme="minorHAnsi"/>
          <w:sz w:val="22"/>
          <w:szCs w:val="22"/>
        </w:rPr>
        <w:t xml:space="preserve"> eura</w:t>
      </w:r>
      <w:r w:rsidR="00E45B0C">
        <w:rPr>
          <w:rFonts w:cstheme="minorHAnsi"/>
          <w:sz w:val="22"/>
          <w:szCs w:val="22"/>
        </w:rPr>
        <w:t xml:space="preserve">, </w:t>
      </w:r>
      <w:r w:rsidR="004B16D8">
        <w:rPr>
          <w:rFonts w:cstheme="minorHAnsi"/>
          <w:sz w:val="22"/>
          <w:szCs w:val="22"/>
        </w:rPr>
        <w:t xml:space="preserve">čime je izvršeno </w:t>
      </w:r>
      <w:r w:rsidR="003E543E">
        <w:rPr>
          <w:rFonts w:cstheme="minorHAnsi"/>
          <w:sz w:val="22"/>
          <w:szCs w:val="22"/>
        </w:rPr>
        <w:t>3,59</w:t>
      </w:r>
      <w:r w:rsidR="004B16D8">
        <w:rPr>
          <w:rFonts w:cstheme="minorHAnsi"/>
          <w:sz w:val="22"/>
          <w:szCs w:val="22"/>
        </w:rPr>
        <w:t>% Plana za 202</w:t>
      </w:r>
      <w:r w:rsidR="003E543E">
        <w:rPr>
          <w:rFonts w:cstheme="minorHAnsi"/>
          <w:sz w:val="22"/>
          <w:szCs w:val="22"/>
        </w:rPr>
        <w:t>3</w:t>
      </w:r>
      <w:r w:rsidR="004B16D8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99"/>
        <w:gridCol w:w="1276"/>
        <w:gridCol w:w="1274"/>
        <w:gridCol w:w="1278"/>
        <w:gridCol w:w="991"/>
        <w:gridCol w:w="822"/>
      </w:tblGrid>
      <w:tr w:rsidR="003E543E" w:rsidRPr="003E543E" w14:paraId="184A4FCB" w14:textId="77777777" w:rsidTr="003E543E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148A1C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033A3A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DD85AE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2022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5E5068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3F8AB7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Ostvarenje 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B9354A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3E5B88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 xml:space="preserve"> 5/4</w:t>
            </w:r>
          </w:p>
        </w:tc>
      </w:tr>
      <w:tr w:rsidR="003E543E" w:rsidRPr="003E543E" w14:paraId="2E28EE66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E3DAFC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154F73F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39E15E8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2BB6650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A50B672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57413C6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275D09" w14:textId="77777777" w:rsidR="003E543E" w:rsidRPr="003E543E" w:rsidRDefault="003E543E" w:rsidP="003E54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3E543E" w:rsidRPr="003E543E" w14:paraId="22BE7C1E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4E8782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B178DE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76B332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5.754,56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C530C6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138.100,00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ECEAD5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F9B695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5DBA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3,59%</w:t>
            </w:r>
          </w:p>
        </w:tc>
      </w:tr>
      <w:tr w:rsidR="003E543E" w:rsidRPr="003E543E" w14:paraId="11AD6824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C52AF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ECB77F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487E9F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5.754,56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2E65F7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138.100,00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0A8427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7CBAB0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C8C7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3,59%</w:t>
            </w:r>
          </w:p>
        </w:tc>
      </w:tr>
      <w:tr w:rsidR="003E543E" w:rsidRPr="003E543E" w14:paraId="069E1421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80EB7E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D72661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81666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B04BF9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133.100,00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5F98A6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0089F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A050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3E543E" w:rsidRPr="003E543E" w14:paraId="179AB5C8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76DB39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5443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52479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151F15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563C66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133.100,00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57F1BE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1D3F3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E784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3E543E" w:rsidRPr="003E543E" w14:paraId="17AAF1CA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3C72D4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0DF932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1DC643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5.754,56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4BBCAD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920581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9E961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D49A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99,22%</w:t>
            </w:r>
          </w:p>
        </w:tc>
      </w:tr>
      <w:tr w:rsidR="003E543E" w:rsidRPr="003E543E" w14:paraId="726F6BD5" w14:textId="77777777" w:rsidTr="003E543E">
        <w:trPr>
          <w:trHeight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0A7DB2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5471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84C8B0" w14:textId="77777777" w:rsidR="003E543E" w:rsidRPr="003E543E" w:rsidRDefault="003E543E" w:rsidP="003E54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Otplata glavnice primljenih zajmova od državnog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3FC87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5.754,56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CB92CC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CB6817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4.961,24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64F4E0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09E5" w14:textId="77777777" w:rsidR="003E543E" w:rsidRPr="003E543E" w:rsidRDefault="003E543E" w:rsidP="003E543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E54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99,22%</w:t>
            </w:r>
          </w:p>
        </w:tc>
      </w:tr>
    </w:tbl>
    <w:p w14:paraId="18C97F45" w14:textId="42FD98D8" w:rsidR="004B16D8" w:rsidRDefault="00EC4BC7" w:rsidP="00EC4BC7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EC4BC7">
        <w:rPr>
          <w:rFonts w:cstheme="minorHAnsi"/>
          <w:sz w:val="22"/>
          <w:szCs w:val="22"/>
        </w:rPr>
        <w:t>Izdaci za otplatu glavnice primljenih kredita i zajmova odnose se povrat dugovanja prema RH radi namirenja nedostajućih sredstava korištenih za izvršenje povrata poreza na dohodak</w:t>
      </w:r>
      <w:r w:rsidR="003E543E">
        <w:rPr>
          <w:rFonts w:cstheme="minorHAnsi"/>
          <w:sz w:val="22"/>
          <w:szCs w:val="22"/>
        </w:rPr>
        <w:t>.</w:t>
      </w:r>
    </w:p>
    <w:p w14:paraId="47405B04" w14:textId="77777777" w:rsidR="00EC4BC7" w:rsidRPr="00C67809" w:rsidRDefault="00EC4BC7" w:rsidP="00EC4BC7">
      <w:pPr>
        <w:spacing w:before="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C67809">
        <w:rPr>
          <w:rFonts w:ascii="Calibri" w:eastAsia="Calibri" w:hAnsi="Calibri" w:cs="Times New Roman"/>
          <w:sz w:val="22"/>
          <w:szCs w:val="22"/>
        </w:rPr>
        <w:t>S time je završen pregled općeg dijela Proračuna, odnosno račun prihoda i rashoda, te financiranja.</w:t>
      </w:r>
    </w:p>
    <w:p w14:paraId="2860525D" w14:textId="77777777" w:rsidR="00EC4BC7" w:rsidRDefault="00EC4BC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F894101" w14:textId="77777777" w:rsidR="00EC4BC7" w:rsidRDefault="00EC4BC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2447DD3" w14:textId="77777777" w:rsidR="00EC4BC7" w:rsidRDefault="00EC4BC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  <w:sectPr w:rsidR="00EC4BC7" w:rsidSect="00DA6E26">
          <w:footerReference w:type="default" r:id="rId10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4294554D" w14:textId="60161088" w:rsidR="00A5677F" w:rsidRPr="00691918" w:rsidRDefault="00A5677F" w:rsidP="00691918">
      <w:pPr>
        <w:pStyle w:val="Heading1"/>
        <w:numPr>
          <w:ilvl w:val="0"/>
          <w:numId w:val="4"/>
        </w:numPr>
        <w:spacing w:before="0" w:after="120"/>
        <w:rPr>
          <w:b/>
          <w:lang w:eastAsia="hr-HR"/>
        </w:rPr>
      </w:pPr>
      <w:bookmarkStart w:id="25" w:name="_Toc144891703"/>
      <w:r w:rsidRPr="00691918">
        <w:rPr>
          <w:b/>
          <w:lang w:eastAsia="hr-HR"/>
        </w:rPr>
        <w:lastRenderedPageBreak/>
        <w:t>IZVJEŠTAJ O ZADUŽIVANJU NA DOMAĆEM I STRANOM TRŽIŠTU NOVCA I KAPITALA</w:t>
      </w:r>
      <w:bookmarkEnd w:id="25"/>
    </w:p>
    <w:p w14:paraId="645020EF" w14:textId="457305E1" w:rsidR="00E61EFC" w:rsidRP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>Pravilnikom o polugodišnjem i godišnjem izvještaju o izvršenju proračuna (Narodne novine</w:t>
      </w:r>
      <w:r w:rsidR="00DD6C48">
        <w:rPr>
          <w:rFonts w:cstheme="minorHAnsi"/>
          <w:sz w:val="22"/>
          <w:szCs w:val="22"/>
          <w:lang w:eastAsia="hr-HR"/>
        </w:rPr>
        <w:t>,</w:t>
      </w:r>
      <w:r w:rsidRPr="00E61EFC">
        <w:rPr>
          <w:rFonts w:cstheme="minorHAnsi"/>
          <w:sz w:val="22"/>
          <w:szCs w:val="22"/>
          <w:lang w:eastAsia="hr-HR"/>
        </w:rPr>
        <w:t xml:space="preserve"> broj </w:t>
      </w:r>
      <w:r w:rsidR="00DD6C48">
        <w:rPr>
          <w:rFonts w:cstheme="minorHAnsi"/>
          <w:sz w:val="22"/>
          <w:szCs w:val="22"/>
          <w:lang w:eastAsia="hr-HR"/>
        </w:rPr>
        <w:t>85/23</w:t>
      </w:r>
      <w:r w:rsidRPr="00E61EFC">
        <w:rPr>
          <w:rFonts w:cstheme="minorHAnsi"/>
          <w:sz w:val="22"/>
          <w:szCs w:val="22"/>
          <w:lang w:eastAsia="hr-HR"/>
        </w:rPr>
        <w:t>), propisano je da Izvještaj o zaduživanju na domaćem i stranom tržištu novca i kapitala u izvještajnom razdoblju sadrži pregled zaduživanja koje je ugovorila jedinica lokalne i područne (regionalne) samouprave po vrsti instrumenata, valutnoj, kamatnoj i ročnoj strukturi te stanje obveza za vrijednosne papire, kredite i zajmove na početku i na kraju proračunske godine, kao i iznose otplata navedenih obveza raspoređene prema dospijeću u narednim godinama.</w:t>
      </w:r>
    </w:p>
    <w:p w14:paraId="710C67BC" w14:textId="77777777" w:rsidR="00E61EFC" w:rsidRP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>Nadalje, sastavni dio Izvještaja o zaduživanju čini i pregled danih zajmova i potraživanja za dane zajmove koje je ugovorila jedinica lokalne i područne (regionalne) samouprave.</w:t>
      </w:r>
    </w:p>
    <w:p w14:paraId="55292C14" w14:textId="77777777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>Slijedom navedenog, Izvještaj o zaduživanju sadrži pregled i stanje obveza za primljene kredite i zajmove i pregled danih zajmova i stanje potraživanja za dane zajmove Općine Levanjska Varoš.</w:t>
      </w:r>
    </w:p>
    <w:p w14:paraId="0DB75D85" w14:textId="77777777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</w:p>
    <w:p w14:paraId="02C349A3" w14:textId="77777777" w:rsidR="00E61EFC" w:rsidRPr="00E61EFC" w:rsidRDefault="00E61EFC" w:rsidP="00E61EFC">
      <w:pPr>
        <w:pStyle w:val="Heading2"/>
        <w:numPr>
          <w:ilvl w:val="1"/>
          <w:numId w:val="4"/>
        </w:numPr>
        <w:spacing w:before="0" w:after="120"/>
        <w:ind w:left="431" w:hanging="431"/>
        <w:rPr>
          <w:rFonts w:eastAsia="Times New Roman"/>
          <w:b/>
          <w:sz w:val="22"/>
          <w:lang w:eastAsia="hr-HR"/>
        </w:rPr>
      </w:pPr>
      <w:bookmarkStart w:id="26" w:name="_Toc144891704"/>
      <w:r w:rsidRPr="00E61EFC">
        <w:rPr>
          <w:rFonts w:eastAsia="Times New Roman"/>
          <w:b/>
          <w:sz w:val="22"/>
          <w:lang w:eastAsia="hr-HR"/>
        </w:rPr>
        <w:t>OBVEZE ZA PRIMLJENE KREDITE I ZAJMOVE</w:t>
      </w:r>
      <w:bookmarkEnd w:id="26"/>
    </w:p>
    <w:p w14:paraId="4E8B5F54" w14:textId="78B107B4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 xml:space="preserve">Tijekom </w:t>
      </w:r>
      <w:r w:rsidR="00DD6C48">
        <w:rPr>
          <w:rFonts w:cstheme="minorHAnsi"/>
          <w:sz w:val="22"/>
          <w:szCs w:val="22"/>
          <w:lang w:eastAsia="hr-HR"/>
        </w:rPr>
        <w:t xml:space="preserve">prve polovice </w:t>
      </w:r>
      <w:r w:rsidRPr="00E61EFC">
        <w:rPr>
          <w:rFonts w:cstheme="minorHAnsi"/>
          <w:sz w:val="22"/>
          <w:szCs w:val="22"/>
          <w:lang w:eastAsia="hr-HR"/>
        </w:rPr>
        <w:t>202</w:t>
      </w:r>
      <w:r w:rsidR="00DD6C48">
        <w:rPr>
          <w:rFonts w:cstheme="minorHAnsi"/>
          <w:sz w:val="22"/>
          <w:szCs w:val="22"/>
          <w:lang w:eastAsia="hr-HR"/>
        </w:rPr>
        <w:t>3</w:t>
      </w:r>
      <w:r w:rsidRPr="00E61EFC">
        <w:rPr>
          <w:rFonts w:cstheme="minorHAnsi"/>
          <w:sz w:val="22"/>
          <w:szCs w:val="22"/>
          <w:lang w:eastAsia="hr-HR"/>
        </w:rPr>
        <w:t>. godine Općina Levanjska Varoš nije se zaduživala za nove dugoročne kredite, a u nastavku se daje pregled kredita ugovorenih u prethodnim godinama kao i stanje obveza za kredite/zajmove na 3</w:t>
      </w:r>
      <w:r w:rsidR="00DD6C48">
        <w:rPr>
          <w:rFonts w:cstheme="minorHAnsi"/>
          <w:sz w:val="22"/>
          <w:szCs w:val="22"/>
          <w:lang w:eastAsia="hr-HR"/>
        </w:rPr>
        <w:t>0</w:t>
      </w:r>
      <w:r w:rsidRPr="00E61EFC">
        <w:rPr>
          <w:rFonts w:cstheme="minorHAnsi"/>
          <w:sz w:val="22"/>
          <w:szCs w:val="22"/>
          <w:lang w:eastAsia="hr-HR"/>
        </w:rPr>
        <w:t>.</w:t>
      </w:r>
      <w:r w:rsidR="00DD6C48">
        <w:rPr>
          <w:rFonts w:cstheme="minorHAnsi"/>
          <w:sz w:val="22"/>
          <w:szCs w:val="22"/>
          <w:lang w:eastAsia="hr-HR"/>
        </w:rPr>
        <w:t>06</w:t>
      </w:r>
      <w:r w:rsidRPr="00E61EFC">
        <w:rPr>
          <w:rFonts w:cstheme="minorHAnsi"/>
          <w:sz w:val="22"/>
          <w:szCs w:val="22"/>
          <w:lang w:eastAsia="hr-HR"/>
        </w:rPr>
        <w:t>.202</w:t>
      </w:r>
      <w:r w:rsidR="00DD6C48">
        <w:rPr>
          <w:rFonts w:cstheme="minorHAnsi"/>
          <w:sz w:val="22"/>
          <w:szCs w:val="22"/>
          <w:lang w:eastAsia="hr-HR"/>
        </w:rPr>
        <w:t>3</w:t>
      </w:r>
      <w:r w:rsidRPr="00E61EFC">
        <w:rPr>
          <w:rFonts w:cstheme="minorHAnsi"/>
          <w:sz w:val="22"/>
          <w:szCs w:val="22"/>
          <w:lang w:eastAsia="hr-HR"/>
        </w:rPr>
        <w:t>. godine s iznosima godišnjih otplata navedenih obveza prema dospijeću u narednim godinama.</w:t>
      </w:r>
    </w:p>
    <w:p w14:paraId="53D4F334" w14:textId="77777777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</w:p>
    <w:p w14:paraId="2C3EB311" w14:textId="44174301" w:rsidR="00E61EFC" w:rsidRPr="00E61EFC" w:rsidRDefault="00E61EFC" w:rsidP="00E61EFC">
      <w:pPr>
        <w:pStyle w:val="Heading3"/>
        <w:numPr>
          <w:ilvl w:val="2"/>
          <w:numId w:val="4"/>
        </w:numPr>
        <w:spacing w:before="0" w:after="120"/>
        <w:ind w:left="504"/>
        <w:rPr>
          <w:rFonts w:eastAsia="Times New Roman"/>
          <w:b/>
          <w:sz w:val="22"/>
          <w:lang w:eastAsia="hr-HR"/>
        </w:rPr>
      </w:pPr>
      <w:bookmarkStart w:id="27" w:name="_Toc144891705"/>
      <w:r w:rsidRPr="00E61EFC">
        <w:rPr>
          <w:rFonts w:eastAsia="Times New Roman"/>
          <w:b/>
          <w:caps w:val="0"/>
          <w:sz w:val="22"/>
          <w:lang w:eastAsia="hr-HR"/>
        </w:rPr>
        <w:t>Dugoročni krediti</w:t>
      </w:r>
      <w:bookmarkEnd w:id="27"/>
    </w:p>
    <w:p w14:paraId="692C505D" w14:textId="724CC2F4" w:rsidR="00E61EFC" w:rsidRPr="00E61EFC" w:rsidRDefault="00E61EFC" w:rsidP="00E61EFC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 xml:space="preserve">Temeljem suglasnosti Vlade RH od 10.09.2020. godine, Općina Levanjska Varoš se u 2020. godini dugoročno zadužila uzimanjem kredita kod Hrvatske banke za obnovu i razvitak u iznosu od 4.000.000,00 kuna, s rokom otplate od 10 godina, u svrhu realizacije kapitalnog projekta K100037 - Kupnja i uređenje kompleksa "Stara kupka" u </w:t>
      </w:r>
      <w:proofErr w:type="spellStart"/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>Breznici</w:t>
      </w:r>
      <w:proofErr w:type="spellEnd"/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 xml:space="preserve"> Đakovačkoj. </w:t>
      </w:r>
      <w:r w:rsidR="00DD6C48" w:rsidRPr="00DD6C48">
        <w:rPr>
          <w:rFonts w:ascii="Calibri" w:eastAsia="Times New Roman" w:hAnsi="Calibri" w:cs="Calibri"/>
          <w:sz w:val="22"/>
          <w:szCs w:val="22"/>
          <w:lang w:eastAsia="hr-HR"/>
        </w:rPr>
        <w:t xml:space="preserve">U izvještajnom razdoblju nisu korištena odobrena sredstva, a sveukupno je iskorišteno </w:t>
      </w:r>
      <w:r w:rsidR="00DD6C48">
        <w:rPr>
          <w:rFonts w:ascii="Calibri" w:eastAsia="Times New Roman" w:hAnsi="Calibri" w:cs="Calibri"/>
          <w:sz w:val="22"/>
          <w:szCs w:val="22"/>
          <w:lang w:eastAsia="hr-HR"/>
        </w:rPr>
        <w:t>474.766,55 eura</w:t>
      </w:r>
      <w:r w:rsidR="00DD6C48" w:rsidRPr="00DD6C48">
        <w:rPr>
          <w:rFonts w:ascii="Calibri" w:eastAsia="Times New Roman" w:hAnsi="Calibri" w:cs="Calibri"/>
          <w:sz w:val="22"/>
          <w:szCs w:val="22"/>
          <w:lang w:eastAsia="hr-HR"/>
        </w:rPr>
        <w:t xml:space="preserve">, dok se ostatak kredita planira koristiti za uređenje predmetnog kompleksa do </w:t>
      </w:r>
      <w:r w:rsidR="00F71CA3">
        <w:rPr>
          <w:rFonts w:ascii="Calibri" w:eastAsia="Times New Roman" w:hAnsi="Calibri" w:cs="Calibri"/>
          <w:sz w:val="22"/>
          <w:szCs w:val="22"/>
          <w:lang w:eastAsia="hr-HR"/>
        </w:rPr>
        <w:t>31.08.</w:t>
      </w:r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>202</w:t>
      </w:r>
      <w:r w:rsidR="00F71CA3">
        <w:rPr>
          <w:rFonts w:ascii="Calibri" w:eastAsia="Times New Roman" w:hAnsi="Calibri" w:cs="Calibri"/>
          <w:sz w:val="22"/>
          <w:szCs w:val="22"/>
          <w:lang w:eastAsia="hr-HR"/>
        </w:rPr>
        <w:t>3</w:t>
      </w:r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>. godine.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3"/>
        <w:gridCol w:w="364"/>
        <w:gridCol w:w="1293"/>
        <w:gridCol w:w="31"/>
        <w:gridCol w:w="1326"/>
        <w:gridCol w:w="243"/>
        <w:gridCol w:w="1080"/>
        <w:gridCol w:w="1326"/>
        <w:gridCol w:w="18"/>
        <w:gridCol w:w="1099"/>
        <w:gridCol w:w="209"/>
        <w:gridCol w:w="905"/>
        <w:gridCol w:w="419"/>
        <w:gridCol w:w="988"/>
        <w:gridCol w:w="339"/>
        <w:gridCol w:w="1071"/>
        <w:gridCol w:w="255"/>
        <w:gridCol w:w="1151"/>
        <w:gridCol w:w="172"/>
        <w:gridCol w:w="1237"/>
        <w:gridCol w:w="89"/>
        <w:gridCol w:w="1320"/>
      </w:tblGrid>
      <w:tr w:rsidR="00177484" w:rsidRPr="00E61EFC" w14:paraId="1D96854A" w14:textId="77777777" w:rsidTr="00CA27CF">
        <w:trPr>
          <w:cantSplit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3E037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Red. br.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8D956A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Kreditor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A9F1E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Opis zaduženja po vrsti  / valutnoj / kamatnoj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br/>
              <w:t xml:space="preserve"> i ročnoj strukturi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10D91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Namjena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6262CC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ugovaranja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4EDE6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dospijeća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D75676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Iznos kredita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CD8C3" w14:textId="6ECAF77F" w:rsidR="00E61EFC" w:rsidRPr="00E61EFC" w:rsidRDefault="00E61EFC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Stanje kredita 01.01.202</w:t>
            </w:r>
            <w:r w:rsidR="0017748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4A043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Primljeni krediti u tekućoj godini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4E1B6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Otplate glavnice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3E5DF" w14:textId="38999E8C" w:rsidR="00E61EFC" w:rsidRPr="00E61EFC" w:rsidRDefault="00E61EFC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Stanje kredita </w:t>
            </w:r>
            <w:r w:rsidR="005805E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="0017748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  <w:r w:rsidR="0017748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06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.202</w:t>
            </w:r>
            <w:r w:rsidR="0017748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</w:tr>
      <w:tr w:rsidR="00177484" w:rsidRPr="00E61EFC" w14:paraId="57138CC6" w14:textId="77777777" w:rsidTr="00CA27CF">
        <w:trPr>
          <w:cantSplit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84233A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1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3C85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Hrvatska banka za obnovu i razvitak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662A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Dugoročni kredit u kunama, rok otplate 10 godina, kamatna stopa 1,75%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89B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Kupnja i uređenje kompleksa „Stara kupka“ u </w:t>
            </w:r>
            <w:proofErr w:type="spellStart"/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Breznici</w:t>
            </w:r>
            <w:proofErr w:type="spellEnd"/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Đakovačkoj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FEA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10.11.2020.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A39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31.12.2032.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89AE56" w14:textId="523E2AD3" w:rsidR="00E61EFC" w:rsidRPr="00DD6C48" w:rsidRDefault="00DD6C48" w:rsidP="00DD6C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530.891,23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20D14" w14:textId="08FCBD42" w:rsidR="00E61EFC" w:rsidRPr="005805EB" w:rsidRDefault="00177484" w:rsidP="0017748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474.766,55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B16C" w14:textId="6530C2D0" w:rsidR="00E61EFC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F717F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1F93F" w14:textId="4C0C36E1" w:rsidR="00E61EFC" w:rsidRPr="00E61EFC" w:rsidRDefault="00177484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474.766,55</w:t>
            </w:r>
          </w:p>
        </w:tc>
      </w:tr>
      <w:tr w:rsidR="00177484" w:rsidRPr="00E61EFC" w14:paraId="4A5C63D8" w14:textId="77777777" w:rsidTr="00177484">
        <w:trPr>
          <w:cantSplit/>
        </w:trPr>
        <w:tc>
          <w:tcPr>
            <w:tcW w:w="27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C6C30" w14:textId="77777777" w:rsidR="00E61EFC" w:rsidRPr="00E61EFC" w:rsidRDefault="00E61EFC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F2244" w14:textId="0D6088C7" w:rsidR="00E61EFC" w:rsidRPr="00E61EFC" w:rsidRDefault="00177484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530.891,23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24059" w14:textId="4B6BE5C0" w:rsidR="00E61EFC" w:rsidRPr="00E61EFC" w:rsidRDefault="00177484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474.766,55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B98A2" w14:textId="0559DE14" w:rsidR="00E61EFC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53E5" w14:textId="63A96B3F" w:rsidR="00E61EFC" w:rsidRPr="00E61EFC" w:rsidRDefault="00177484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5840" w14:textId="758442C0" w:rsidR="00E61EFC" w:rsidRPr="00E61EFC" w:rsidRDefault="00177484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474.766,55</w:t>
            </w:r>
          </w:p>
        </w:tc>
      </w:tr>
      <w:tr w:rsidR="00E61EFC" w:rsidRPr="00E61EFC" w14:paraId="25E11697" w14:textId="77777777" w:rsidTr="00E61EFC">
        <w:trPr>
          <w:cantSplit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F3214" w14:textId="77777777" w:rsidR="00E61EFC" w:rsidRPr="00E61EFC" w:rsidRDefault="00E61EFC" w:rsidP="00E61EF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Iznosi otplata u narednim godinama:</w:t>
            </w:r>
          </w:p>
        </w:tc>
      </w:tr>
      <w:tr w:rsidR="00177484" w:rsidRPr="00E61EFC" w14:paraId="3373AE5E" w14:textId="77777777" w:rsidTr="00CA27CF">
        <w:trPr>
          <w:cantSplit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C52DB" w14:textId="77777777" w:rsidR="00650796" w:rsidRPr="00E61EFC" w:rsidRDefault="00650796" w:rsidP="00E61EF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Godina: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7377A6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2023.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1D7DA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2024.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8270AE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2025.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299CAD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2026.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6C6E0A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2027.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663A2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2028.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E8E3D7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2029.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798C78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2030.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AE82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2031.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CBAD6" w14:textId="77777777" w:rsidR="00650796" w:rsidRPr="00E61EFC" w:rsidRDefault="00650796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2032.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9A60A" w14:textId="019AAD3E" w:rsidR="00650796" w:rsidRPr="00E61EFC" w:rsidRDefault="00CA27CF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2033.</w:t>
            </w:r>
          </w:p>
        </w:tc>
      </w:tr>
      <w:tr w:rsidR="00177484" w:rsidRPr="00E61EFC" w14:paraId="677EB7AA" w14:textId="77777777" w:rsidTr="00A353E0">
        <w:trPr>
          <w:cantSplit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512BA" w14:textId="77777777" w:rsidR="00177484" w:rsidRPr="00E61EFC" w:rsidRDefault="00177484" w:rsidP="0017748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Iznos: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6DD2" w14:textId="26C474F6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177484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13.272,28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6DDBB2" w14:textId="14B2C90F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53.089,12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D4E" w14:textId="057D7132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14E" w14:textId="386C3E6A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179" w14:textId="2BA34BA4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E3DC6" w14:textId="329991F8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4C792" w14:textId="4881A432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9026E" w14:textId="3084E87C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F205D" w14:textId="75D79A1C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BCA4D" w14:textId="6B4025CC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861F40">
              <w:t>53.089,12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08F" w14:textId="34308F90" w:rsidR="00177484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177484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39.816,84</w:t>
            </w:r>
          </w:p>
        </w:tc>
      </w:tr>
    </w:tbl>
    <w:p w14:paraId="6753E7EA" w14:textId="77777777" w:rsidR="00E61EFC" w:rsidRP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</w:p>
    <w:p w14:paraId="6DC14783" w14:textId="20B66BEF" w:rsidR="0053024B" w:rsidRPr="0053024B" w:rsidRDefault="0053024B" w:rsidP="005A0236">
      <w:pPr>
        <w:pStyle w:val="Heading3"/>
        <w:numPr>
          <w:ilvl w:val="2"/>
          <w:numId w:val="4"/>
        </w:numPr>
        <w:spacing w:before="0" w:after="120"/>
        <w:ind w:left="504"/>
        <w:rPr>
          <w:rFonts w:eastAsia="Times New Roman"/>
          <w:b/>
          <w:sz w:val="22"/>
        </w:rPr>
      </w:pPr>
      <w:bookmarkStart w:id="28" w:name="_Toc144891706"/>
      <w:r w:rsidRPr="0053024B">
        <w:rPr>
          <w:rFonts w:eastAsia="Times New Roman"/>
          <w:b/>
          <w:sz w:val="22"/>
        </w:rPr>
        <w:lastRenderedPageBreak/>
        <w:t>K</w:t>
      </w:r>
      <w:r w:rsidRPr="0053024B">
        <w:rPr>
          <w:rFonts w:eastAsia="Times New Roman"/>
          <w:b/>
          <w:caps w:val="0"/>
          <w:sz w:val="22"/>
        </w:rPr>
        <w:t>ratkoročni zajmovi</w:t>
      </w:r>
      <w:bookmarkEnd w:id="28"/>
    </w:p>
    <w:p w14:paraId="53F72F87" w14:textId="6AB8A1E2" w:rsidR="008F174B" w:rsidRPr="0053024B" w:rsidRDefault="008F174B" w:rsidP="0053024B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>U 202</w:t>
      </w:r>
      <w:r>
        <w:rPr>
          <w:rFonts w:ascii="Calibri" w:eastAsia="Times New Roman" w:hAnsi="Calibri" w:cs="Calibri"/>
          <w:sz w:val="22"/>
          <w:szCs w:val="22"/>
          <w:lang w:eastAsia="hr-HR"/>
        </w:rPr>
        <w:t>2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. godini ugovoren 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 xml:space="preserve">je 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kratkoročni kredit Croatia banke u iznosu od 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>79.633,69 eura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 s rokom korištenja do 15.09.202</w:t>
      </w:r>
      <w:r>
        <w:rPr>
          <w:rFonts w:ascii="Calibri" w:eastAsia="Times New Roman" w:hAnsi="Calibri" w:cs="Calibri"/>
          <w:sz w:val="22"/>
          <w:szCs w:val="22"/>
          <w:lang w:eastAsia="hr-HR"/>
        </w:rPr>
        <w:t>3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. godine u svrhu premošćivanja privremene nelikvidnosti prilikom provođenja kapitalnih projekata, a tijekom 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>izvještajnog razdoblja nisu korištena kreditna sredstva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>.</w:t>
      </w:r>
    </w:p>
    <w:p w14:paraId="2091D570" w14:textId="59237B78" w:rsidR="0053024B" w:rsidRDefault="0053024B" w:rsidP="0053024B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Nadalje, u svrhu isplate povrata poreza i prireza po godišnjoj prijavi za 202</w:t>
      </w:r>
      <w:r w:rsidR="00E406BD">
        <w:rPr>
          <w:rFonts w:ascii="Calibri" w:eastAsia="Times New Roman" w:hAnsi="Calibri" w:cs="Calibri"/>
          <w:sz w:val="22"/>
          <w:szCs w:val="22"/>
          <w:lang w:eastAsia="hr-HR"/>
        </w:rPr>
        <w:t>1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. godinu nedostajuća sredstva na zajedničkom računu poreza i prireza na dohodak namirena su na teret državnog proračuna, a sukladno Uputi Ministarstva financija evidentirana su kao obveza za kratkoročni zajam. Na 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>dan 01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.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>01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.202</w:t>
      </w:r>
      <w:r w:rsidR="00E406BD">
        <w:rPr>
          <w:rFonts w:ascii="Calibri" w:eastAsia="Times New Roman" w:hAnsi="Calibri" w:cs="Calibri"/>
          <w:sz w:val="22"/>
          <w:szCs w:val="22"/>
          <w:lang w:eastAsia="hr-HR"/>
        </w:rPr>
        <w:t>3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. godine stanje beskamatnog zajma Ministarstva financija iznosi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 xml:space="preserve">lo je </w:t>
      </w:r>
      <w:r w:rsidR="00E406BD" w:rsidRPr="00E406BD">
        <w:rPr>
          <w:rFonts w:ascii="Calibri" w:eastAsia="Times New Roman" w:hAnsi="Calibri" w:cs="Calibri"/>
          <w:sz w:val="22"/>
          <w:szCs w:val="22"/>
          <w:lang w:eastAsia="hr-HR"/>
        </w:rPr>
        <w:t>4.961,24</w:t>
      </w:r>
      <w:r w:rsidR="00E406BD">
        <w:rPr>
          <w:rFonts w:ascii="Calibri" w:eastAsia="Times New Roman" w:hAnsi="Calibri" w:cs="Calibri"/>
          <w:sz w:val="22"/>
          <w:szCs w:val="22"/>
          <w:lang w:eastAsia="hr-HR"/>
        </w:rPr>
        <w:t xml:space="preserve"> eura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 xml:space="preserve">, te je 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dug otplaćen u 4 mjesečna obroka na način da 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 xml:space="preserve">je 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FINA 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>poslala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 naloge na teret računa proračuna Općine za povrat u državni proračun.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"/>
        <w:gridCol w:w="1687"/>
        <w:gridCol w:w="1647"/>
        <w:gridCol w:w="2456"/>
        <w:gridCol w:w="1129"/>
        <w:gridCol w:w="1142"/>
        <w:gridCol w:w="1274"/>
        <w:gridCol w:w="1274"/>
        <w:gridCol w:w="1360"/>
        <w:gridCol w:w="1483"/>
        <w:gridCol w:w="1468"/>
      </w:tblGrid>
      <w:tr w:rsidR="0053024B" w:rsidRPr="0053024B" w14:paraId="461F5790" w14:textId="77777777" w:rsidTr="0053024B">
        <w:trPr>
          <w:cantSplit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5F0A6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Red. br.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DDC44D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Kreditor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0C06B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Opis zaduženja po vrsti  / valutnoj / kamatnoj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br/>
              <w:t xml:space="preserve"> i ročnoj strukturi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A2D236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Namjena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75FDE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ugovaranja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D5CA65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dospijeća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2838B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Iznos kredita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3D5944" w14:textId="7EC96B7A" w:rsidR="0053024B" w:rsidRPr="0053024B" w:rsidRDefault="0053024B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Stanje kredita 01.01.202</w:t>
            </w:r>
            <w:r w:rsidR="00E406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966384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Primljeni krediti u tekućoj godini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48251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Otplate glavnice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81C38" w14:textId="3B9511AB" w:rsidR="0053024B" w:rsidRPr="0053024B" w:rsidRDefault="0053024B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Stanje kredita </w:t>
            </w:r>
            <w:r w:rsidR="00FB6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="00E406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  <w:r w:rsidR="00E406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06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.202</w:t>
            </w:r>
            <w:r w:rsidR="00E406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</w:tr>
      <w:tr w:rsidR="00CA27CF" w:rsidRPr="0053024B" w14:paraId="375CDB55" w14:textId="77777777" w:rsidTr="0053024B">
        <w:trPr>
          <w:cantSplit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6F0EE2" w14:textId="4937042E" w:rsidR="00CA27CF" w:rsidRPr="0053024B" w:rsidRDefault="002B59CD" w:rsidP="00CA27C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4E9" w14:textId="77777777" w:rsidR="00CA27CF" w:rsidRPr="0053024B" w:rsidRDefault="00CA27CF" w:rsidP="00CA27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Croatia banka d.d.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E6BC33" w14:textId="77777777" w:rsidR="00CA27CF" w:rsidRPr="0053024B" w:rsidRDefault="00CA27CF" w:rsidP="00CA27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Kratkoročni </w:t>
            </w:r>
            <w:proofErr w:type="spellStart"/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revolving</w:t>
            </w:r>
            <w:proofErr w:type="spellEnd"/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kredit u kunama, kamatna stopa 6,5%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A3EE" w14:textId="77777777" w:rsidR="00CA27CF" w:rsidRPr="0053024B" w:rsidRDefault="00CA27CF" w:rsidP="00CA27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Premošćivanje privremene nelikvidnosti prilikom provođenja projekata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AC29" w14:textId="1A9D646C" w:rsidR="00CA27CF" w:rsidRPr="0053024B" w:rsidRDefault="008F174B" w:rsidP="008F17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24</w:t>
            </w:r>
            <w:r w:rsidR="00CA27CF"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10</w:t>
            </w:r>
            <w:r w:rsidR="00CA27CF"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</w:t>
            </w:r>
            <w:r w:rsidR="00CA27CF"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A4C5" w14:textId="71D08A57" w:rsidR="00CA27CF" w:rsidRPr="0053024B" w:rsidRDefault="00CA27CF" w:rsidP="008F17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15.09.202</w:t>
            </w:r>
            <w:r w:rsidR="008F17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3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DDE76B" w14:textId="07A3A7D4" w:rsidR="00CA27CF" w:rsidRPr="0053024B" w:rsidRDefault="00E406BD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79.633,69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03C325" w14:textId="3C48C9F9" w:rsidR="00CA27CF" w:rsidRPr="0053024B" w:rsidRDefault="00E406BD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26.544,56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624306" w14:textId="3BD956CD" w:rsidR="00CA27CF" w:rsidRPr="0053024B" w:rsidRDefault="00E406BD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21C2F" w14:textId="77777777" w:rsidR="00CA27CF" w:rsidRPr="0053024B" w:rsidRDefault="00CA27CF" w:rsidP="00CA27C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F04390" w14:textId="07CADE26" w:rsidR="00CA27CF" w:rsidRPr="0053024B" w:rsidRDefault="00E406BD" w:rsidP="00CA27C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26.544,56</w:t>
            </w:r>
          </w:p>
        </w:tc>
      </w:tr>
      <w:tr w:rsidR="002B59CD" w:rsidRPr="0053024B" w14:paraId="4B5D77DE" w14:textId="77777777" w:rsidTr="0053024B">
        <w:trPr>
          <w:cantSplit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1A253" w14:textId="0491B4D8" w:rsidR="002B59CD" w:rsidRPr="0053024B" w:rsidRDefault="002B59CD" w:rsidP="002B59C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9C4" w14:textId="0B915CD1" w:rsidR="002B59CD" w:rsidRPr="0053024B" w:rsidRDefault="002B59CD" w:rsidP="002B59C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Republika Hrvatska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C8636" w14:textId="62A284E2" w:rsidR="002B59CD" w:rsidRPr="0053024B" w:rsidRDefault="002B59CD" w:rsidP="002B59C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Kratkoročni zajam u kunama, bez kamata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F92" w14:textId="1DB449DC" w:rsidR="002B59CD" w:rsidRPr="0053024B" w:rsidRDefault="002B59CD" w:rsidP="002B59C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Namirenje nedostajućih sredstava za izvršenje povrata poreza po godišnjoj prijavi za 202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898" w14:textId="53752D51" w:rsidR="002B59CD" w:rsidRPr="0053024B" w:rsidRDefault="002B59CD" w:rsidP="002B59C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FEB" w14:textId="78B4ECFB" w:rsidR="002B59CD" w:rsidRPr="0053024B" w:rsidRDefault="002B59CD" w:rsidP="002B59C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6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.04.202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3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955E7" w14:textId="1114C13F" w:rsidR="002B59CD" w:rsidRPr="0053024B" w:rsidRDefault="00E406BD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14.319,99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35FE" w14:textId="0D90FB1D" w:rsidR="002B59CD" w:rsidRPr="00FB6F64" w:rsidRDefault="00E406BD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4.961,24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1829" w14:textId="6FE81434" w:rsidR="002B59CD" w:rsidRDefault="00E406BD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889ED" w14:textId="5C4A937E" w:rsidR="002B59CD" w:rsidRDefault="00E406BD" w:rsidP="00664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4.961,24</w:t>
            </w:r>
            <w:r w:rsidR="006647D9" w:rsidRPr="006647D9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0294E" w14:textId="62195DD0" w:rsidR="002B59CD" w:rsidRDefault="00E406BD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</w:tr>
      <w:tr w:rsidR="002B59CD" w:rsidRPr="0053024B" w14:paraId="736FD29C" w14:textId="77777777" w:rsidTr="00FB6F64">
        <w:trPr>
          <w:cantSplit/>
        </w:trPr>
        <w:tc>
          <w:tcPr>
            <w:tcW w:w="2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160253" w14:textId="77777777" w:rsidR="002B59CD" w:rsidRPr="0053024B" w:rsidRDefault="002B59CD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3F468" w14:textId="2B6DF4F1" w:rsidR="002B59CD" w:rsidRPr="0053024B" w:rsidRDefault="00E406BD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93.953,68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413D8" w14:textId="11E8D6E7" w:rsidR="002B59CD" w:rsidRPr="0053024B" w:rsidRDefault="00E406BD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31.505,8</w:t>
            </w: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2C0C" w14:textId="2C89177D" w:rsidR="002B59CD" w:rsidRPr="0053024B" w:rsidRDefault="00E406BD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9563" w14:textId="2256D966" w:rsidR="002B59CD" w:rsidRPr="0053024B" w:rsidRDefault="00E406BD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4.961,24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C650" w14:textId="78DEE05D" w:rsidR="002B59CD" w:rsidRPr="0053024B" w:rsidRDefault="00E406BD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26.544,56</w:t>
            </w:r>
          </w:p>
        </w:tc>
      </w:tr>
    </w:tbl>
    <w:p w14:paraId="506431DE" w14:textId="77777777" w:rsidR="00470EBB" w:rsidRDefault="00470EBB" w:rsidP="009A0C43">
      <w:pPr>
        <w:rPr>
          <w:sz w:val="22"/>
        </w:rPr>
      </w:pPr>
    </w:p>
    <w:p w14:paraId="6D53E936" w14:textId="77777777" w:rsidR="008926B8" w:rsidRDefault="008926B8" w:rsidP="009A0C43">
      <w:pPr>
        <w:rPr>
          <w:sz w:val="22"/>
        </w:rPr>
      </w:pPr>
    </w:p>
    <w:p w14:paraId="1754B4EF" w14:textId="77777777" w:rsidR="00470EBB" w:rsidRPr="00691918" w:rsidRDefault="00470EBB" w:rsidP="00470EBB">
      <w:pPr>
        <w:pStyle w:val="Heading1"/>
        <w:numPr>
          <w:ilvl w:val="0"/>
          <w:numId w:val="4"/>
        </w:numPr>
        <w:spacing w:before="0" w:after="120"/>
        <w:rPr>
          <w:b/>
        </w:rPr>
      </w:pPr>
      <w:bookmarkStart w:id="29" w:name="_Toc144891707"/>
      <w:r w:rsidRPr="00691918">
        <w:rPr>
          <w:b/>
        </w:rPr>
        <w:t>IZVJEŠTAJ O DANIM JAMSTVIMA I IZDACIMA PO DANIM JAMSTVIMA</w:t>
      </w:r>
      <w:bookmarkEnd w:id="29"/>
    </w:p>
    <w:p w14:paraId="27ADEDD9" w14:textId="77777777" w:rsidR="00470EBB" w:rsidRPr="00000576" w:rsidRDefault="00470EBB" w:rsidP="00470EB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U izvještajnom razdoblju Općina Levanjska Varoš nije davala jamstva niti je imala troškove po danim jamstvima.</w:t>
      </w:r>
    </w:p>
    <w:p w14:paraId="2ED9E75E" w14:textId="77777777" w:rsidR="00470EBB" w:rsidRDefault="00470EBB" w:rsidP="00470EBB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4726AA03" w14:textId="77777777" w:rsidR="008926B8" w:rsidRPr="00000576" w:rsidRDefault="008926B8" w:rsidP="00470EBB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14AE663E" w14:textId="77777777" w:rsidR="00470EBB" w:rsidRPr="00691918" w:rsidRDefault="00470EBB" w:rsidP="00470EBB">
      <w:pPr>
        <w:pStyle w:val="Heading1"/>
        <w:numPr>
          <w:ilvl w:val="0"/>
          <w:numId w:val="4"/>
        </w:numPr>
        <w:spacing w:before="0" w:after="120"/>
        <w:rPr>
          <w:b/>
        </w:rPr>
      </w:pPr>
      <w:bookmarkStart w:id="30" w:name="_Toc144891708"/>
      <w:bookmarkStart w:id="31" w:name="_GoBack"/>
      <w:bookmarkEnd w:id="31"/>
      <w:r w:rsidRPr="00691918">
        <w:rPr>
          <w:b/>
        </w:rPr>
        <w:t>IZVJEŠTAJ O KORIŠTENJU SREDSTAVA PRORAČUNSKE ZALIHE</w:t>
      </w:r>
      <w:bookmarkEnd w:id="30"/>
    </w:p>
    <w:p w14:paraId="7E44CD80" w14:textId="3863F251" w:rsidR="008874E3" w:rsidRPr="001F3CBE" w:rsidRDefault="00470EBB" w:rsidP="008926B8">
      <w:pPr>
        <w:spacing w:before="0" w:after="120" w:line="240" w:lineRule="auto"/>
        <w:jc w:val="both"/>
        <w:rPr>
          <w:sz w:val="22"/>
        </w:rPr>
      </w:pPr>
      <w:r w:rsidRPr="00000576">
        <w:rPr>
          <w:rFonts w:cstheme="minorHAnsi"/>
          <w:sz w:val="22"/>
          <w:szCs w:val="22"/>
        </w:rPr>
        <w:t>U izvještajnom razdoblju Općina Levanjska Varoš nije koristila sredstava proračunske zalihe.</w:t>
      </w:r>
    </w:p>
    <w:sectPr w:rsidR="008874E3" w:rsidRPr="001F3CBE" w:rsidSect="00892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CDC9" w14:textId="77777777" w:rsidR="008F1C3E" w:rsidRDefault="008F1C3E" w:rsidP="009A54E3">
      <w:pPr>
        <w:spacing w:after="0" w:line="240" w:lineRule="auto"/>
      </w:pPr>
      <w:r>
        <w:separator/>
      </w:r>
    </w:p>
  </w:endnote>
  <w:endnote w:type="continuationSeparator" w:id="0">
    <w:p w14:paraId="39005316" w14:textId="77777777" w:rsidR="008F1C3E" w:rsidRDefault="008F1C3E" w:rsidP="009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6F002" w14:textId="0A075CC6" w:rsidR="003E543E" w:rsidRDefault="003E543E">
    <w:pPr>
      <w:pStyle w:val="Footer"/>
      <w:jc w:val="right"/>
    </w:pPr>
  </w:p>
  <w:p w14:paraId="24D6F330" w14:textId="77777777" w:rsidR="003E543E" w:rsidRDefault="003E5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90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C071A" w14:textId="77777777" w:rsidR="003E543E" w:rsidRDefault="003E5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ED05D" w14:textId="77777777" w:rsidR="008F1C3E" w:rsidRDefault="008F1C3E" w:rsidP="009A54E3">
      <w:pPr>
        <w:spacing w:after="0" w:line="240" w:lineRule="auto"/>
      </w:pPr>
      <w:r>
        <w:separator/>
      </w:r>
    </w:p>
  </w:footnote>
  <w:footnote w:type="continuationSeparator" w:id="0">
    <w:p w14:paraId="594093CE" w14:textId="77777777" w:rsidR="008F1C3E" w:rsidRDefault="008F1C3E" w:rsidP="009A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3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96D8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F3B53"/>
    <w:multiLevelType w:val="multilevel"/>
    <w:tmpl w:val="BC628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D05"/>
    <w:multiLevelType w:val="hybridMultilevel"/>
    <w:tmpl w:val="438A8578"/>
    <w:lvl w:ilvl="0" w:tplc="9BFC7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60E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3234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A519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31CB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431D5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01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550B5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9C6E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423E31"/>
    <w:multiLevelType w:val="hybridMultilevel"/>
    <w:tmpl w:val="D608AE44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74ECA6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2F31"/>
    <w:multiLevelType w:val="hybridMultilevel"/>
    <w:tmpl w:val="BC628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48A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597BD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B712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6C03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DA3B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B03A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941FB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717D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8D6F59"/>
    <w:multiLevelType w:val="hybridMultilevel"/>
    <w:tmpl w:val="5E682282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E58"/>
    <w:multiLevelType w:val="hybridMultilevel"/>
    <w:tmpl w:val="5710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7139"/>
    <w:multiLevelType w:val="hybridMultilevel"/>
    <w:tmpl w:val="B9BCD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7770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63081F"/>
    <w:multiLevelType w:val="hybridMultilevel"/>
    <w:tmpl w:val="9D8C6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43F6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2F594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6A48"/>
    <w:multiLevelType w:val="hybridMultilevel"/>
    <w:tmpl w:val="53987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E23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8556D1"/>
    <w:multiLevelType w:val="hybridMultilevel"/>
    <w:tmpl w:val="A894D95E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672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FE527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75291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F38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411B5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8D40B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4F13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5C3E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39"/>
  </w:num>
  <w:num w:numId="5">
    <w:abstractNumId w:val="12"/>
  </w:num>
  <w:num w:numId="6">
    <w:abstractNumId w:val="29"/>
  </w:num>
  <w:num w:numId="7">
    <w:abstractNumId w:val="36"/>
  </w:num>
  <w:num w:numId="8">
    <w:abstractNumId w:val="27"/>
  </w:num>
  <w:num w:numId="9">
    <w:abstractNumId w:val="38"/>
  </w:num>
  <w:num w:numId="10">
    <w:abstractNumId w:val="9"/>
  </w:num>
  <w:num w:numId="11">
    <w:abstractNumId w:val="30"/>
  </w:num>
  <w:num w:numId="12">
    <w:abstractNumId w:val="33"/>
  </w:num>
  <w:num w:numId="13">
    <w:abstractNumId w:val="19"/>
  </w:num>
  <w:num w:numId="14">
    <w:abstractNumId w:val="14"/>
  </w:num>
  <w:num w:numId="15">
    <w:abstractNumId w:val="31"/>
  </w:num>
  <w:num w:numId="16">
    <w:abstractNumId w:val="32"/>
  </w:num>
  <w:num w:numId="17">
    <w:abstractNumId w:val="7"/>
  </w:num>
  <w:num w:numId="18">
    <w:abstractNumId w:val="16"/>
  </w:num>
  <w:num w:numId="19">
    <w:abstractNumId w:val="25"/>
  </w:num>
  <w:num w:numId="20">
    <w:abstractNumId w:val="17"/>
  </w:num>
  <w:num w:numId="21">
    <w:abstractNumId w:val="10"/>
  </w:num>
  <w:num w:numId="22">
    <w:abstractNumId w:val="11"/>
  </w:num>
  <w:num w:numId="23">
    <w:abstractNumId w:val="1"/>
  </w:num>
  <w:num w:numId="24">
    <w:abstractNumId w:val="6"/>
  </w:num>
  <w:num w:numId="25">
    <w:abstractNumId w:val="8"/>
  </w:num>
  <w:num w:numId="26">
    <w:abstractNumId w:val="37"/>
  </w:num>
  <w:num w:numId="27">
    <w:abstractNumId w:val="35"/>
  </w:num>
  <w:num w:numId="28">
    <w:abstractNumId w:val="5"/>
  </w:num>
  <w:num w:numId="29">
    <w:abstractNumId w:val="18"/>
  </w:num>
  <w:num w:numId="30">
    <w:abstractNumId w:val="15"/>
  </w:num>
  <w:num w:numId="31">
    <w:abstractNumId w:val="20"/>
  </w:num>
  <w:num w:numId="32">
    <w:abstractNumId w:val="0"/>
  </w:num>
  <w:num w:numId="33">
    <w:abstractNumId w:val="24"/>
  </w:num>
  <w:num w:numId="34">
    <w:abstractNumId w:val="13"/>
  </w:num>
  <w:num w:numId="35">
    <w:abstractNumId w:val="2"/>
  </w:num>
  <w:num w:numId="36">
    <w:abstractNumId w:val="23"/>
  </w:num>
  <w:num w:numId="37">
    <w:abstractNumId w:val="2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"/>
  </w:num>
  <w:num w:numId="4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A"/>
    <w:rsid w:val="00000576"/>
    <w:rsid w:val="00010E7B"/>
    <w:rsid w:val="0001419E"/>
    <w:rsid w:val="00014669"/>
    <w:rsid w:val="000163DD"/>
    <w:rsid w:val="00016C99"/>
    <w:rsid w:val="00017652"/>
    <w:rsid w:val="00023CB8"/>
    <w:rsid w:val="000316D8"/>
    <w:rsid w:val="00043D16"/>
    <w:rsid w:val="00045987"/>
    <w:rsid w:val="00060860"/>
    <w:rsid w:val="00070EBB"/>
    <w:rsid w:val="000729BA"/>
    <w:rsid w:val="0008404E"/>
    <w:rsid w:val="00084D94"/>
    <w:rsid w:val="00090D6F"/>
    <w:rsid w:val="000A7667"/>
    <w:rsid w:val="000B12CA"/>
    <w:rsid w:val="000C0F8F"/>
    <w:rsid w:val="000C381B"/>
    <w:rsid w:val="000C59A8"/>
    <w:rsid w:val="000C7768"/>
    <w:rsid w:val="000D26DF"/>
    <w:rsid w:val="000E2AB3"/>
    <w:rsid w:val="000E3498"/>
    <w:rsid w:val="000F0E7D"/>
    <w:rsid w:val="000F3E2C"/>
    <w:rsid w:val="001003E5"/>
    <w:rsid w:val="00102A00"/>
    <w:rsid w:val="00102A1B"/>
    <w:rsid w:val="00104C6B"/>
    <w:rsid w:val="00106E3A"/>
    <w:rsid w:val="00110C37"/>
    <w:rsid w:val="001125F1"/>
    <w:rsid w:val="0011375A"/>
    <w:rsid w:val="00117578"/>
    <w:rsid w:val="0013136E"/>
    <w:rsid w:val="00132BCA"/>
    <w:rsid w:val="0013341B"/>
    <w:rsid w:val="00133D7D"/>
    <w:rsid w:val="00140F2C"/>
    <w:rsid w:val="00142DF1"/>
    <w:rsid w:val="00145FEA"/>
    <w:rsid w:val="001512CE"/>
    <w:rsid w:val="00154587"/>
    <w:rsid w:val="001561B9"/>
    <w:rsid w:val="00161D46"/>
    <w:rsid w:val="00165728"/>
    <w:rsid w:val="00177484"/>
    <w:rsid w:val="00181225"/>
    <w:rsid w:val="00190A9F"/>
    <w:rsid w:val="00190ECE"/>
    <w:rsid w:val="001924E7"/>
    <w:rsid w:val="00193062"/>
    <w:rsid w:val="001B1D06"/>
    <w:rsid w:val="001B468C"/>
    <w:rsid w:val="001B57AF"/>
    <w:rsid w:val="001B6CF7"/>
    <w:rsid w:val="001C3A02"/>
    <w:rsid w:val="001E787F"/>
    <w:rsid w:val="001F0678"/>
    <w:rsid w:val="001F3CBE"/>
    <w:rsid w:val="002102E2"/>
    <w:rsid w:val="00220F01"/>
    <w:rsid w:val="00223645"/>
    <w:rsid w:val="00226A56"/>
    <w:rsid w:val="00231A39"/>
    <w:rsid w:val="002324AF"/>
    <w:rsid w:val="00236872"/>
    <w:rsid w:val="00250D2E"/>
    <w:rsid w:val="00250FAA"/>
    <w:rsid w:val="002531E7"/>
    <w:rsid w:val="00257941"/>
    <w:rsid w:val="0027166B"/>
    <w:rsid w:val="00274052"/>
    <w:rsid w:val="00274319"/>
    <w:rsid w:val="00274995"/>
    <w:rsid w:val="00275734"/>
    <w:rsid w:val="0028075A"/>
    <w:rsid w:val="00284651"/>
    <w:rsid w:val="00286149"/>
    <w:rsid w:val="002A4555"/>
    <w:rsid w:val="002A5EEE"/>
    <w:rsid w:val="002A5FE9"/>
    <w:rsid w:val="002A6BB5"/>
    <w:rsid w:val="002A711E"/>
    <w:rsid w:val="002A7D83"/>
    <w:rsid w:val="002B4455"/>
    <w:rsid w:val="002B59CD"/>
    <w:rsid w:val="002B6962"/>
    <w:rsid w:val="002B6C48"/>
    <w:rsid w:val="002C0047"/>
    <w:rsid w:val="002C2441"/>
    <w:rsid w:val="002C4342"/>
    <w:rsid w:val="002C45BB"/>
    <w:rsid w:val="002C5D6D"/>
    <w:rsid w:val="002C7635"/>
    <w:rsid w:val="002D3B1A"/>
    <w:rsid w:val="002E3A5F"/>
    <w:rsid w:val="002E5E6E"/>
    <w:rsid w:val="002F0C4B"/>
    <w:rsid w:val="002F1CBE"/>
    <w:rsid w:val="002F4A3A"/>
    <w:rsid w:val="002F7631"/>
    <w:rsid w:val="00301A5D"/>
    <w:rsid w:val="003021F3"/>
    <w:rsid w:val="0030282E"/>
    <w:rsid w:val="00305607"/>
    <w:rsid w:val="00310DB6"/>
    <w:rsid w:val="00317C52"/>
    <w:rsid w:val="00317C8F"/>
    <w:rsid w:val="00324960"/>
    <w:rsid w:val="0032607B"/>
    <w:rsid w:val="00327ABF"/>
    <w:rsid w:val="00331E1E"/>
    <w:rsid w:val="003325B3"/>
    <w:rsid w:val="003348CE"/>
    <w:rsid w:val="00336A6C"/>
    <w:rsid w:val="0036018D"/>
    <w:rsid w:val="00363438"/>
    <w:rsid w:val="00374013"/>
    <w:rsid w:val="00374739"/>
    <w:rsid w:val="00375BA8"/>
    <w:rsid w:val="00375E86"/>
    <w:rsid w:val="00376643"/>
    <w:rsid w:val="00376A90"/>
    <w:rsid w:val="00387510"/>
    <w:rsid w:val="00395275"/>
    <w:rsid w:val="003A0F5F"/>
    <w:rsid w:val="003A4D0F"/>
    <w:rsid w:val="003A5A5C"/>
    <w:rsid w:val="003A7FD6"/>
    <w:rsid w:val="003B1847"/>
    <w:rsid w:val="003B1AA8"/>
    <w:rsid w:val="003B42B6"/>
    <w:rsid w:val="003B4D0E"/>
    <w:rsid w:val="003B7416"/>
    <w:rsid w:val="003C1908"/>
    <w:rsid w:val="003C5D8E"/>
    <w:rsid w:val="003C6F29"/>
    <w:rsid w:val="003E322D"/>
    <w:rsid w:val="003E3931"/>
    <w:rsid w:val="003E3D29"/>
    <w:rsid w:val="003E543E"/>
    <w:rsid w:val="00402CB5"/>
    <w:rsid w:val="004036CF"/>
    <w:rsid w:val="00407245"/>
    <w:rsid w:val="00411704"/>
    <w:rsid w:val="00425AA8"/>
    <w:rsid w:val="00434207"/>
    <w:rsid w:val="00442B6B"/>
    <w:rsid w:val="0044363F"/>
    <w:rsid w:val="00450368"/>
    <w:rsid w:val="00451393"/>
    <w:rsid w:val="0045314E"/>
    <w:rsid w:val="00454586"/>
    <w:rsid w:val="00454D29"/>
    <w:rsid w:val="004561FE"/>
    <w:rsid w:val="004612C0"/>
    <w:rsid w:val="00464EA5"/>
    <w:rsid w:val="00465765"/>
    <w:rsid w:val="00467531"/>
    <w:rsid w:val="00470EBB"/>
    <w:rsid w:val="004711B9"/>
    <w:rsid w:val="00471FBC"/>
    <w:rsid w:val="00472332"/>
    <w:rsid w:val="00472929"/>
    <w:rsid w:val="0048366B"/>
    <w:rsid w:val="00486DA2"/>
    <w:rsid w:val="00487652"/>
    <w:rsid w:val="00490FC5"/>
    <w:rsid w:val="00492F59"/>
    <w:rsid w:val="004A2D96"/>
    <w:rsid w:val="004B099F"/>
    <w:rsid w:val="004B16D8"/>
    <w:rsid w:val="004B2DCA"/>
    <w:rsid w:val="004B3A6D"/>
    <w:rsid w:val="004B3DC6"/>
    <w:rsid w:val="004B58FB"/>
    <w:rsid w:val="004B6EEF"/>
    <w:rsid w:val="004C4052"/>
    <w:rsid w:val="004C51CE"/>
    <w:rsid w:val="004D1CAA"/>
    <w:rsid w:val="004D3167"/>
    <w:rsid w:val="004D5A0D"/>
    <w:rsid w:val="004D61BF"/>
    <w:rsid w:val="004F1481"/>
    <w:rsid w:val="004F24B1"/>
    <w:rsid w:val="004F27A7"/>
    <w:rsid w:val="004F457C"/>
    <w:rsid w:val="004F7FB8"/>
    <w:rsid w:val="0050059F"/>
    <w:rsid w:val="005030AC"/>
    <w:rsid w:val="00510F65"/>
    <w:rsid w:val="005157C4"/>
    <w:rsid w:val="005169EC"/>
    <w:rsid w:val="0051756F"/>
    <w:rsid w:val="00526CC7"/>
    <w:rsid w:val="0053024B"/>
    <w:rsid w:val="00530C10"/>
    <w:rsid w:val="00536B75"/>
    <w:rsid w:val="00554C35"/>
    <w:rsid w:val="0055569B"/>
    <w:rsid w:val="005668C0"/>
    <w:rsid w:val="00574B81"/>
    <w:rsid w:val="00576F09"/>
    <w:rsid w:val="005805EB"/>
    <w:rsid w:val="005809AA"/>
    <w:rsid w:val="005813D0"/>
    <w:rsid w:val="00584BFC"/>
    <w:rsid w:val="005919A0"/>
    <w:rsid w:val="00591B87"/>
    <w:rsid w:val="00592BC7"/>
    <w:rsid w:val="005947FD"/>
    <w:rsid w:val="00596DF8"/>
    <w:rsid w:val="00597147"/>
    <w:rsid w:val="00597CFD"/>
    <w:rsid w:val="005A0236"/>
    <w:rsid w:val="005A3519"/>
    <w:rsid w:val="005A7AFD"/>
    <w:rsid w:val="005B0F84"/>
    <w:rsid w:val="005B1DE6"/>
    <w:rsid w:val="005B46C3"/>
    <w:rsid w:val="005B60B0"/>
    <w:rsid w:val="005C123A"/>
    <w:rsid w:val="005C32FF"/>
    <w:rsid w:val="005C456D"/>
    <w:rsid w:val="005C7758"/>
    <w:rsid w:val="005C7CB5"/>
    <w:rsid w:val="005E5669"/>
    <w:rsid w:val="005F1771"/>
    <w:rsid w:val="005F7D42"/>
    <w:rsid w:val="006005FF"/>
    <w:rsid w:val="00600BB6"/>
    <w:rsid w:val="00602FA8"/>
    <w:rsid w:val="0060671B"/>
    <w:rsid w:val="00613B7A"/>
    <w:rsid w:val="0061702C"/>
    <w:rsid w:val="006200E7"/>
    <w:rsid w:val="00621128"/>
    <w:rsid w:val="00621175"/>
    <w:rsid w:val="0062302F"/>
    <w:rsid w:val="00623AF0"/>
    <w:rsid w:val="00624466"/>
    <w:rsid w:val="00624965"/>
    <w:rsid w:val="00630285"/>
    <w:rsid w:val="00635342"/>
    <w:rsid w:val="0063709C"/>
    <w:rsid w:val="0064030D"/>
    <w:rsid w:val="00640572"/>
    <w:rsid w:val="00641FA4"/>
    <w:rsid w:val="00643333"/>
    <w:rsid w:val="0064548E"/>
    <w:rsid w:val="006505B6"/>
    <w:rsid w:val="00650796"/>
    <w:rsid w:val="00651EAA"/>
    <w:rsid w:val="00653DD9"/>
    <w:rsid w:val="00654109"/>
    <w:rsid w:val="00662189"/>
    <w:rsid w:val="006647D9"/>
    <w:rsid w:val="006726D0"/>
    <w:rsid w:val="006762A4"/>
    <w:rsid w:val="00686103"/>
    <w:rsid w:val="00691918"/>
    <w:rsid w:val="006A7047"/>
    <w:rsid w:val="006B3773"/>
    <w:rsid w:val="006B5E02"/>
    <w:rsid w:val="006C052C"/>
    <w:rsid w:val="006C2915"/>
    <w:rsid w:val="006D5C95"/>
    <w:rsid w:val="006F0B47"/>
    <w:rsid w:val="006F4B00"/>
    <w:rsid w:val="0070068F"/>
    <w:rsid w:val="007200C6"/>
    <w:rsid w:val="00725638"/>
    <w:rsid w:val="007259BA"/>
    <w:rsid w:val="007279DE"/>
    <w:rsid w:val="007279F1"/>
    <w:rsid w:val="00727B8A"/>
    <w:rsid w:val="00735F4B"/>
    <w:rsid w:val="007361B0"/>
    <w:rsid w:val="007419F3"/>
    <w:rsid w:val="00746CD7"/>
    <w:rsid w:val="0074757F"/>
    <w:rsid w:val="00747903"/>
    <w:rsid w:val="007517FE"/>
    <w:rsid w:val="0076152E"/>
    <w:rsid w:val="00770A9D"/>
    <w:rsid w:val="00774527"/>
    <w:rsid w:val="00780673"/>
    <w:rsid w:val="00781082"/>
    <w:rsid w:val="00781E6C"/>
    <w:rsid w:val="00784033"/>
    <w:rsid w:val="00795657"/>
    <w:rsid w:val="00796B65"/>
    <w:rsid w:val="007971C9"/>
    <w:rsid w:val="00797DD3"/>
    <w:rsid w:val="007A0C79"/>
    <w:rsid w:val="007A1BB2"/>
    <w:rsid w:val="007C07DF"/>
    <w:rsid w:val="007D77AF"/>
    <w:rsid w:val="007E2254"/>
    <w:rsid w:val="007E469E"/>
    <w:rsid w:val="007F1A38"/>
    <w:rsid w:val="007F4540"/>
    <w:rsid w:val="00805C3A"/>
    <w:rsid w:val="008101CD"/>
    <w:rsid w:val="00817194"/>
    <w:rsid w:val="0082567C"/>
    <w:rsid w:val="00825D8E"/>
    <w:rsid w:val="00827FB4"/>
    <w:rsid w:val="008305E0"/>
    <w:rsid w:val="008362B3"/>
    <w:rsid w:val="00842DE9"/>
    <w:rsid w:val="00845957"/>
    <w:rsid w:val="00845ABE"/>
    <w:rsid w:val="00846A46"/>
    <w:rsid w:val="00852FB2"/>
    <w:rsid w:val="00854339"/>
    <w:rsid w:val="00860D19"/>
    <w:rsid w:val="00862519"/>
    <w:rsid w:val="00867F06"/>
    <w:rsid w:val="008763B5"/>
    <w:rsid w:val="008874E3"/>
    <w:rsid w:val="00891E2B"/>
    <w:rsid w:val="008926B8"/>
    <w:rsid w:val="00894864"/>
    <w:rsid w:val="00894F9D"/>
    <w:rsid w:val="008A1F8B"/>
    <w:rsid w:val="008A716F"/>
    <w:rsid w:val="008B4A19"/>
    <w:rsid w:val="008C00EE"/>
    <w:rsid w:val="008C2930"/>
    <w:rsid w:val="008C393D"/>
    <w:rsid w:val="008D30E5"/>
    <w:rsid w:val="008D413E"/>
    <w:rsid w:val="008E2D5F"/>
    <w:rsid w:val="008E36CC"/>
    <w:rsid w:val="008E60C5"/>
    <w:rsid w:val="008F174B"/>
    <w:rsid w:val="008F1C3E"/>
    <w:rsid w:val="00900F08"/>
    <w:rsid w:val="00903D93"/>
    <w:rsid w:val="0091674D"/>
    <w:rsid w:val="00926CB7"/>
    <w:rsid w:val="00927089"/>
    <w:rsid w:val="009272CC"/>
    <w:rsid w:val="00930861"/>
    <w:rsid w:val="00952C2D"/>
    <w:rsid w:val="00952D0C"/>
    <w:rsid w:val="00956BBC"/>
    <w:rsid w:val="009673CB"/>
    <w:rsid w:val="0097133D"/>
    <w:rsid w:val="0097156D"/>
    <w:rsid w:val="009734FE"/>
    <w:rsid w:val="00980194"/>
    <w:rsid w:val="009836DB"/>
    <w:rsid w:val="00987853"/>
    <w:rsid w:val="009925A8"/>
    <w:rsid w:val="00996402"/>
    <w:rsid w:val="009979E5"/>
    <w:rsid w:val="009A018B"/>
    <w:rsid w:val="009A0C43"/>
    <w:rsid w:val="009A54E3"/>
    <w:rsid w:val="009A702F"/>
    <w:rsid w:val="009B702D"/>
    <w:rsid w:val="009C1A50"/>
    <w:rsid w:val="009C1A7F"/>
    <w:rsid w:val="009C629F"/>
    <w:rsid w:val="009C6954"/>
    <w:rsid w:val="009C794D"/>
    <w:rsid w:val="009D3D23"/>
    <w:rsid w:val="009D4F60"/>
    <w:rsid w:val="009D6FC0"/>
    <w:rsid w:val="009D779D"/>
    <w:rsid w:val="009F0ECE"/>
    <w:rsid w:val="009F1614"/>
    <w:rsid w:val="009F4E02"/>
    <w:rsid w:val="009F77FC"/>
    <w:rsid w:val="00A030EE"/>
    <w:rsid w:val="00A10A66"/>
    <w:rsid w:val="00A1442C"/>
    <w:rsid w:val="00A21F46"/>
    <w:rsid w:val="00A26D19"/>
    <w:rsid w:val="00A2762C"/>
    <w:rsid w:val="00A31C3C"/>
    <w:rsid w:val="00A34397"/>
    <w:rsid w:val="00A37069"/>
    <w:rsid w:val="00A42AC6"/>
    <w:rsid w:val="00A4410C"/>
    <w:rsid w:val="00A44285"/>
    <w:rsid w:val="00A46398"/>
    <w:rsid w:val="00A53149"/>
    <w:rsid w:val="00A549FA"/>
    <w:rsid w:val="00A5677F"/>
    <w:rsid w:val="00A636A7"/>
    <w:rsid w:val="00A64127"/>
    <w:rsid w:val="00A65079"/>
    <w:rsid w:val="00A678FB"/>
    <w:rsid w:val="00A70244"/>
    <w:rsid w:val="00A714BF"/>
    <w:rsid w:val="00A747E5"/>
    <w:rsid w:val="00A75277"/>
    <w:rsid w:val="00A80F01"/>
    <w:rsid w:val="00A86C0F"/>
    <w:rsid w:val="00A90195"/>
    <w:rsid w:val="00A95402"/>
    <w:rsid w:val="00AA77C5"/>
    <w:rsid w:val="00AB3432"/>
    <w:rsid w:val="00AB5162"/>
    <w:rsid w:val="00AC0907"/>
    <w:rsid w:val="00AC6A4D"/>
    <w:rsid w:val="00AD4188"/>
    <w:rsid w:val="00AE006E"/>
    <w:rsid w:val="00AE4296"/>
    <w:rsid w:val="00AF0D77"/>
    <w:rsid w:val="00AF1819"/>
    <w:rsid w:val="00AF1F47"/>
    <w:rsid w:val="00AF422D"/>
    <w:rsid w:val="00AF72B3"/>
    <w:rsid w:val="00B05F28"/>
    <w:rsid w:val="00B10603"/>
    <w:rsid w:val="00B10604"/>
    <w:rsid w:val="00B107B0"/>
    <w:rsid w:val="00B11696"/>
    <w:rsid w:val="00B12661"/>
    <w:rsid w:val="00B2269C"/>
    <w:rsid w:val="00B22701"/>
    <w:rsid w:val="00B23F2D"/>
    <w:rsid w:val="00B2598C"/>
    <w:rsid w:val="00B33666"/>
    <w:rsid w:val="00B35581"/>
    <w:rsid w:val="00B46575"/>
    <w:rsid w:val="00B5209F"/>
    <w:rsid w:val="00B53528"/>
    <w:rsid w:val="00B54D18"/>
    <w:rsid w:val="00B56F86"/>
    <w:rsid w:val="00B5738A"/>
    <w:rsid w:val="00B57B95"/>
    <w:rsid w:val="00B65D8F"/>
    <w:rsid w:val="00B733A0"/>
    <w:rsid w:val="00B825F2"/>
    <w:rsid w:val="00B82AF3"/>
    <w:rsid w:val="00B83C76"/>
    <w:rsid w:val="00B84EA9"/>
    <w:rsid w:val="00B90569"/>
    <w:rsid w:val="00B97AEC"/>
    <w:rsid w:val="00BA0D97"/>
    <w:rsid w:val="00BA0DAB"/>
    <w:rsid w:val="00BA3DFD"/>
    <w:rsid w:val="00BB3F52"/>
    <w:rsid w:val="00BB4411"/>
    <w:rsid w:val="00BC38E5"/>
    <w:rsid w:val="00BC7D0B"/>
    <w:rsid w:val="00BD3C3A"/>
    <w:rsid w:val="00BE51AB"/>
    <w:rsid w:val="00BE5399"/>
    <w:rsid w:val="00BE609B"/>
    <w:rsid w:val="00BE6345"/>
    <w:rsid w:val="00BE71AE"/>
    <w:rsid w:val="00BF4249"/>
    <w:rsid w:val="00BF5652"/>
    <w:rsid w:val="00C000F4"/>
    <w:rsid w:val="00C017B0"/>
    <w:rsid w:val="00C02B55"/>
    <w:rsid w:val="00C07852"/>
    <w:rsid w:val="00C10573"/>
    <w:rsid w:val="00C127A8"/>
    <w:rsid w:val="00C1307B"/>
    <w:rsid w:val="00C16F83"/>
    <w:rsid w:val="00C17704"/>
    <w:rsid w:val="00C21516"/>
    <w:rsid w:val="00C23CDE"/>
    <w:rsid w:val="00C27B75"/>
    <w:rsid w:val="00C33C27"/>
    <w:rsid w:val="00C340D3"/>
    <w:rsid w:val="00C37143"/>
    <w:rsid w:val="00C3735B"/>
    <w:rsid w:val="00C51C2B"/>
    <w:rsid w:val="00C737B4"/>
    <w:rsid w:val="00C74EB9"/>
    <w:rsid w:val="00C77235"/>
    <w:rsid w:val="00C80A30"/>
    <w:rsid w:val="00C83807"/>
    <w:rsid w:val="00C847DE"/>
    <w:rsid w:val="00C85A6A"/>
    <w:rsid w:val="00C865A9"/>
    <w:rsid w:val="00CA09AC"/>
    <w:rsid w:val="00CA27CF"/>
    <w:rsid w:val="00CA4C1E"/>
    <w:rsid w:val="00CA4D2C"/>
    <w:rsid w:val="00CA60C6"/>
    <w:rsid w:val="00CB141D"/>
    <w:rsid w:val="00CB14B4"/>
    <w:rsid w:val="00CB1DF5"/>
    <w:rsid w:val="00CB5B2F"/>
    <w:rsid w:val="00CB7858"/>
    <w:rsid w:val="00CD1979"/>
    <w:rsid w:val="00CE192F"/>
    <w:rsid w:val="00CE4369"/>
    <w:rsid w:val="00CE61CC"/>
    <w:rsid w:val="00CF50AB"/>
    <w:rsid w:val="00CF5739"/>
    <w:rsid w:val="00D13D35"/>
    <w:rsid w:val="00D13E13"/>
    <w:rsid w:val="00D2045E"/>
    <w:rsid w:val="00D2176F"/>
    <w:rsid w:val="00D260F6"/>
    <w:rsid w:val="00D3452E"/>
    <w:rsid w:val="00D37AE8"/>
    <w:rsid w:val="00D415E7"/>
    <w:rsid w:val="00D4335C"/>
    <w:rsid w:val="00D43500"/>
    <w:rsid w:val="00D5706C"/>
    <w:rsid w:val="00D632A6"/>
    <w:rsid w:val="00D70514"/>
    <w:rsid w:val="00D8040E"/>
    <w:rsid w:val="00D8058C"/>
    <w:rsid w:val="00D8175C"/>
    <w:rsid w:val="00D83B76"/>
    <w:rsid w:val="00D90686"/>
    <w:rsid w:val="00DA1896"/>
    <w:rsid w:val="00DA219B"/>
    <w:rsid w:val="00DA487E"/>
    <w:rsid w:val="00DA551E"/>
    <w:rsid w:val="00DA590B"/>
    <w:rsid w:val="00DA6E26"/>
    <w:rsid w:val="00DA6EB1"/>
    <w:rsid w:val="00DB140D"/>
    <w:rsid w:val="00DB2E03"/>
    <w:rsid w:val="00DB2FBD"/>
    <w:rsid w:val="00DB556E"/>
    <w:rsid w:val="00DB55A7"/>
    <w:rsid w:val="00DB65BB"/>
    <w:rsid w:val="00DC5F6B"/>
    <w:rsid w:val="00DC7D18"/>
    <w:rsid w:val="00DD04B4"/>
    <w:rsid w:val="00DD3B5A"/>
    <w:rsid w:val="00DD3C3F"/>
    <w:rsid w:val="00DD520A"/>
    <w:rsid w:val="00DD52B2"/>
    <w:rsid w:val="00DD6C48"/>
    <w:rsid w:val="00DF028B"/>
    <w:rsid w:val="00DF30EA"/>
    <w:rsid w:val="00DF3B1A"/>
    <w:rsid w:val="00DF5F9A"/>
    <w:rsid w:val="00DF72E3"/>
    <w:rsid w:val="00E234BE"/>
    <w:rsid w:val="00E31984"/>
    <w:rsid w:val="00E31AB4"/>
    <w:rsid w:val="00E35489"/>
    <w:rsid w:val="00E406BD"/>
    <w:rsid w:val="00E445E4"/>
    <w:rsid w:val="00E44D66"/>
    <w:rsid w:val="00E456C0"/>
    <w:rsid w:val="00E45B0C"/>
    <w:rsid w:val="00E512F7"/>
    <w:rsid w:val="00E6182A"/>
    <w:rsid w:val="00E61EFC"/>
    <w:rsid w:val="00E65AF4"/>
    <w:rsid w:val="00E671D0"/>
    <w:rsid w:val="00E67766"/>
    <w:rsid w:val="00E67C20"/>
    <w:rsid w:val="00E71E60"/>
    <w:rsid w:val="00E7385C"/>
    <w:rsid w:val="00E74899"/>
    <w:rsid w:val="00E753A5"/>
    <w:rsid w:val="00E75D88"/>
    <w:rsid w:val="00E77D1E"/>
    <w:rsid w:val="00E82F4C"/>
    <w:rsid w:val="00E83246"/>
    <w:rsid w:val="00E84472"/>
    <w:rsid w:val="00E922B6"/>
    <w:rsid w:val="00E97861"/>
    <w:rsid w:val="00E97F5D"/>
    <w:rsid w:val="00EA7D3F"/>
    <w:rsid w:val="00EB008B"/>
    <w:rsid w:val="00EB3E0D"/>
    <w:rsid w:val="00EC4BC7"/>
    <w:rsid w:val="00EC7EDF"/>
    <w:rsid w:val="00ED4161"/>
    <w:rsid w:val="00EE1A1E"/>
    <w:rsid w:val="00EE7E0D"/>
    <w:rsid w:val="00EF1CEB"/>
    <w:rsid w:val="00EF5E3E"/>
    <w:rsid w:val="00F00266"/>
    <w:rsid w:val="00F00684"/>
    <w:rsid w:val="00F027D3"/>
    <w:rsid w:val="00F055A3"/>
    <w:rsid w:val="00F06541"/>
    <w:rsid w:val="00F10065"/>
    <w:rsid w:val="00F11CC6"/>
    <w:rsid w:val="00F13092"/>
    <w:rsid w:val="00F15D05"/>
    <w:rsid w:val="00F16FB6"/>
    <w:rsid w:val="00F22DEC"/>
    <w:rsid w:val="00F23E67"/>
    <w:rsid w:val="00F25291"/>
    <w:rsid w:val="00F257C2"/>
    <w:rsid w:val="00F25C7F"/>
    <w:rsid w:val="00F344DD"/>
    <w:rsid w:val="00F40BBA"/>
    <w:rsid w:val="00F4380C"/>
    <w:rsid w:val="00F44228"/>
    <w:rsid w:val="00F44FFF"/>
    <w:rsid w:val="00F45183"/>
    <w:rsid w:val="00F46246"/>
    <w:rsid w:val="00F51AB4"/>
    <w:rsid w:val="00F563F0"/>
    <w:rsid w:val="00F603B0"/>
    <w:rsid w:val="00F66D89"/>
    <w:rsid w:val="00F70B4C"/>
    <w:rsid w:val="00F71CA3"/>
    <w:rsid w:val="00F75F45"/>
    <w:rsid w:val="00F76FE6"/>
    <w:rsid w:val="00F8123E"/>
    <w:rsid w:val="00F8323F"/>
    <w:rsid w:val="00F92018"/>
    <w:rsid w:val="00F93C77"/>
    <w:rsid w:val="00FA3B14"/>
    <w:rsid w:val="00FA71CD"/>
    <w:rsid w:val="00FA7A1D"/>
    <w:rsid w:val="00FB02AE"/>
    <w:rsid w:val="00FB0C5A"/>
    <w:rsid w:val="00FB0F60"/>
    <w:rsid w:val="00FB321D"/>
    <w:rsid w:val="00FB509E"/>
    <w:rsid w:val="00FB626F"/>
    <w:rsid w:val="00FB6F64"/>
    <w:rsid w:val="00FC1C1D"/>
    <w:rsid w:val="00FC5808"/>
    <w:rsid w:val="00FC6AB5"/>
    <w:rsid w:val="00FD0CF4"/>
    <w:rsid w:val="00FD17A0"/>
    <w:rsid w:val="00FD32B2"/>
    <w:rsid w:val="00FD54B5"/>
    <w:rsid w:val="00FD6AC6"/>
    <w:rsid w:val="00FD6DDA"/>
    <w:rsid w:val="00FE1252"/>
    <w:rsid w:val="00FE152E"/>
    <w:rsid w:val="00FE43CB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F90"/>
  <w15:chartTrackingRefBased/>
  <w15:docId w15:val="{15A50622-4DBE-4B8F-AA2B-0DB63FA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9C"/>
  </w:style>
  <w:style w:type="paragraph" w:styleId="Heading1">
    <w:name w:val="heading 1"/>
    <w:basedOn w:val="Normal"/>
    <w:next w:val="Normal"/>
    <w:link w:val="Heading1Char"/>
    <w:uiPriority w:val="9"/>
    <w:qFormat/>
    <w:rsid w:val="000005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5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5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5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E3"/>
  </w:style>
  <w:style w:type="paragraph" w:styleId="Footer">
    <w:name w:val="footer"/>
    <w:basedOn w:val="Normal"/>
    <w:link w:val="Footer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E3"/>
  </w:style>
  <w:style w:type="character" w:customStyle="1" w:styleId="Heading1Char">
    <w:name w:val="Heading 1 Char"/>
    <w:basedOn w:val="DefaultParagraphFont"/>
    <w:link w:val="Heading1"/>
    <w:uiPriority w:val="9"/>
    <w:rsid w:val="000005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00576"/>
    <w:rPr>
      <w:caps/>
      <w:spacing w:val="15"/>
      <w:shd w:val="clear" w:color="auto" w:fill="DEEAF6" w:themeFill="accent1" w:themeFillTint="33"/>
    </w:rPr>
  </w:style>
  <w:style w:type="numbering" w:customStyle="1" w:styleId="Bezpopisa1">
    <w:name w:val="Bez popisa1"/>
    <w:next w:val="NoList"/>
    <w:uiPriority w:val="99"/>
    <w:semiHidden/>
    <w:unhideWhenUsed/>
    <w:rsid w:val="00274995"/>
  </w:style>
  <w:style w:type="paragraph" w:styleId="BodyText">
    <w:name w:val="Body Text"/>
    <w:basedOn w:val="Normal"/>
    <w:link w:val="BodyTextChar"/>
    <w:uiPriority w:val="1"/>
    <w:rsid w:val="002749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274995"/>
    <w:rPr>
      <w:rFonts w:ascii="Tahoma" w:eastAsia="Tahoma" w:hAnsi="Tahoma" w:cs="Tahom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005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5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TableParagraph">
    <w:name w:val="Table Paragraph"/>
    <w:basedOn w:val="Normal"/>
    <w:uiPriority w:val="1"/>
    <w:rsid w:val="00274995"/>
    <w:pPr>
      <w:widowControl w:val="0"/>
      <w:autoSpaceDE w:val="0"/>
      <w:autoSpaceDN w:val="0"/>
      <w:spacing w:before="16" w:after="0" w:line="240" w:lineRule="auto"/>
      <w:jc w:val="right"/>
    </w:pPr>
    <w:rPr>
      <w:rFonts w:ascii="Tahoma" w:eastAsia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A26D19"/>
  </w:style>
  <w:style w:type="table" w:customStyle="1" w:styleId="TableGrid1">
    <w:name w:val="Table Grid1"/>
    <w:basedOn w:val="TableNormal"/>
    <w:next w:val="TableGrid"/>
    <w:uiPriority w:val="39"/>
    <w:rsid w:val="00A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26D19"/>
  </w:style>
  <w:style w:type="paragraph" w:styleId="TOCHeading">
    <w:name w:val="TOC Heading"/>
    <w:basedOn w:val="Heading1"/>
    <w:next w:val="Normal"/>
    <w:uiPriority w:val="39"/>
    <w:unhideWhenUsed/>
    <w:qFormat/>
    <w:rsid w:val="0000057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B58FB"/>
    <w:pPr>
      <w:spacing w:after="100"/>
      <w:ind w:left="220"/>
    </w:pPr>
    <w:rPr>
      <w:rFonts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3D7D"/>
    <w:pPr>
      <w:tabs>
        <w:tab w:val="left" w:pos="440"/>
        <w:tab w:val="right" w:leader="dot" w:pos="10456"/>
      </w:tabs>
      <w:spacing w:before="120" w:after="0" w:line="240" w:lineRule="auto"/>
    </w:pPr>
    <w:rPr>
      <w:rFonts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60F6"/>
    <w:pPr>
      <w:tabs>
        <w:tab w:val="left" w:pos="1320"/>
        <w:tab w:val="right" w:leader="dot" w:pos="10456"/>
      </w:tabs>
      <w:spacing w:before="0" w:after="0"/>
      <w:ind w:left="440"/>
    </w:pPr>
    <w:rPr>
      <w:rFonts w:cs="Times New Roman"/>
      <w:noProof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0057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57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5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57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0576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5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0057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00576"/>
    <w:rPr>
      <w:b/>
      <w:bCs/>
    </w:rPr>
  </w:style>
  <w:style w:type="character" w:styleId="Emphasis">
    <w:name w:val="Emphasis"/>
    <w:uiPriority w:val="20"/>
    <w:qFormat/>
    <w:rsid w:val="0000057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0005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057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057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5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57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00057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00057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00057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00057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000576"/>
    <w:rPr>
      <w:b/>
      <w:bCs/>
      <w:i/>
      <w:iCs/>
      <w:spacing w:val="0"/>
    </w:rPr>
  </w:style>
  <w:style w:type="character" w:styleId="Hyperlink">
    <w:name w:val="Hyperlink"/>
    <w:basedOn w:val="DefaultParagraphFont"/>
    <w:uiPriority w:val="99"/>
    <w:unhideWhenUsed/>
    <w:rsid w:val="00781E6C"/>
    <w:rPr>
      <w:color w:val="0563C1" w:themeColor="hyperlink"/>
      <w:u w:val="single"/>
    </w:rPr>
  </w:style>
  <w:style w:type="paragraph" w:customStyle="1" w:styleId="Default">
    <w:name w:val="Default"/>
    <w:rsid w:val="00D13D35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467531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B140-299B-4E4E-83CF-27BFA3C6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14</Pages>
  <Words>5887</Words>
  <Characters>33558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2021-05-11T08:46:00Z</cp:lastPrinted>
  <dcterms:created xsi:type="dcterms:W3CDTF">2023-09-04T08:58:00Z</dcterms:created>
  <dcterms:modified xsi:type="dcterms:W3CDTF">2023-09-06T09:24:00Z</dcterms:modified>
</cp:coreProperties>
</file>